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ind w:hanging="0" w:start="0"/>
        <w:jc w:val="center"/>
        <w:rPr/>
      </w:pPr>
      <w:r>
        <w:rPr>
          <w:rFonts w:cs="Verdana" w:ascii="Verdana" w:hAnsi="Verdana"/>
          <w:b/>
          <w:sz w:val="20"/>
          <w:szCs w:val="20"/>
        </w:rPr>
        <w:t>ANEXO III</w:t>
      </w:r>
    </w:p>
    <w:tbl>
      <w:tblPr>
        <w:tblW w:w="9000" w:type="dxa"/>
        <w:jc w:val="start"/>
        <w:tblInd w:w="70" w:type="dxa"/>
        <w:tblLayout w:type="fixed"/>
        <w:tblCellMar>
          <w:top w:w="0" w:type="dxa"/>
          <w:start w:w="70" w:type="dxa"/>
          <w:bottom w:w="0" w:type="dxa"/>
          <w:end w:w="70" w:type="dxa"/>
        </w:tblCellMar>
      </w:tblPr>
      <w:tblGrid>
        <w:gridCol w:w="4253"/>
        <w:gridCol w:w="4746"/>
      </w:tblGrid>
      <w:tr>
        <w:trPr>
          <w:trHeight w:val="1035" w:hRule="atLeast"/>
        </w:trPr>
        <w:tc>
          <w:tcPr>
            <w:tcW w:w="4253" w:type="dxa"/>
            <w:tcBorders/>
          </w:tcPr>
          <w:p>
            <w:pPr>
              <w:pStyle w:val="Heading1"/>
              <w:widowControl w:val="false"/>
              <w:numPr>
                <w:ilvl w:val="0"/>
                <w:numId w:val="1"/>
              </w:numPr>
              <w:spacing w:lineRule="auto" w:line="240" w:before="57" w:after="57"/>
              <w:ind w:hanging="0" w:start="0"/>
              <w:rPr/>
            </w:pPr>
            <w:r>
              <w:rPr>
                <w:rFonts w:cs="Verdana" w:ascii="Verdana" w:hAnsi="Verdana"/>
                <w:sz w:val="20"/>
                <w:szCs w:val="20"/>
                <w:lang w:val="pt-BR" w:eastAsia="pt-BR"/>
              </w:rPr>
              <w:t>ATA DE SRP</w:t>
            </w:r>
            <w:r>
              <w:rPr>
                <w:rFonts w:cs="Verdana" w:ascii="Verdana" w:hAnsi="Verdana"/>
                <w:b w:val="false"/>
                <w:sz w:val="20"/>
                <w:szCs w:val="20"/>
                <w:lang w:val="pt-BR" w:eastAsia="pt-BR"/>
              </w:rPr>
              <w:t xml:space="preserve"> </w:t>
            </w:r>
            <w:r>
              <w:rPr>
                <w:rFonts w:cs="Verdana" w:ascii="Verdana" w:hAnsi="Verdana"/>
                <w:sz w:val="20"/>
                <w:szCs w:val="20"/>
                <w:lang w:val="pt-BR" w:eastAsia="pt-BR"/>
              </w:rPr>
              <w:t>Nº __/2025</w:t>
            </w:r>
          </w:p>
        </w:tc>
        <w:tc>
          <w:tcPr>
            <w:tcW w:w="4746" w:type="dxa"/>
            <w:tcBorders/>
          </w:tcPr>
          <w:p>
            <w:pPr>
              <w:pStyle w:val="Normal"/>
              <w:widowControl w:val="false"/>
              <w:spacing w:lineRule="auto" w:line="240" w:before="57" w:after="57"/>
              <w:ind w:hanging="0" w:start="0"/>
              <w:jc w:val="end"/>
              <w:rPr/>
            </w:pPr>
            <w:r>
              <w:rPr>
                <w:rFonts w:cs="Verdana" w:ascii="Verdana" w:hAnsi="Verdana"/>
                <w:b/>
                <w:sz w:val="20"/>
                <w:szCs w:val="20"/>
              </w:rPr>
              <w:t>MINUTA DE ATA DE REGISTRO DE PREÇOS</w:t>
            </w:r>
          </w:p>
          <w:p>
            <w:pPr>
              <w:pStyle w:val="Normal"/>
              <w:widowControl w:val="false"/>
              <w:spacing w:lineRule="auto" w:line="240" w:before="57" w:after="57"/>
              <w:ind w:hanging="0" w:start="0"/>
              <w:jc w:val="end"/>
              <w:rPr/>
            </w:pPr>
            <w:r>
              <w:rPr>
                <w:rFonts w:cs="Verdana" w:ascii="Verdana" w:hAnsi="Verdana"/>
                <w:b/>
                <w:sz w:val="20"/>
                <w:szCs w:val="20"/>
              </w:rPr>
              <w:t>VALIDADE: 01 ANO</w:t>
            </w:r>
          </w:p>
        </w:tc>
      </w:tr>
    </w:tbl>
    <w:p>
      <w:pPr>
        <w:pStyle w:val="Normal"/>
        <w:spacing w:lineRule="auto" w:line="240" w:before="57" w:after="57"/>
        <w:ind w:hanging="0" w:start="0"/>
        <w:jc w:val="both"/>
        <w:rPr>
          <w:rFonts w:ascii="Verdana" w:hAnsi="Verdana" w:cs="Verdana"/>
          <w:sz w:val="20"/>
          <w:szCs w:val="20"/>
        </w:rPr>
      </w:pPr>
      <w:r>
        <w:rPr>
          <w:rFonts w:cs="Verdana" w:ascii="Verdana" w:hAnsi="Verdana"/>
          <w:sz w:val="20"/>
          <w:szCs w:val="20"/>
        </w:rPr>
      </w:r>
    </w:p>
    <w:p>
      <w:pPr>
        <w:pStyle w:val="Normal"/>
        <w:spacing w:lineRule="auto" w:line="240" w:before="0" w:after="0"/>
        <w:ind w:hanging="0" w:start="0" w:end="0"/>
        <w:jc w:val="both"/>
        <w:rPr/>
      </w:pPr>
      <w:r>
        <w:rPr>
          <w:rFonts w:cs="Verdana" w:ascii="Verdana" w:hAnsi="Verdana"/>
          <w:sz w:val="20"/>
          <w:szCs w:val="20"/>
        </w:rPr>
        <w:t xml:space="preserve">A Prefeitura Municipal de São Gabriel da Palha, com sede na Praça Vicente Glazar. nº 157, Glória, neste município, inscrita no CNPJ/MF sob o nº 27.174.143/0001/76, neste ato representado(a) pelo Excelentíssimo Prefeito, Senhor ______________________, brasileiro, casado, residente na ____________________, nesta cidade, inscrito no CPF/MF sob o n.º ____________________, nomeado(a) pela Portaria nº ...... de ..... de ...... de 202_, publicada no ....... de ..... de ....... de ....., considerando o julgamento da licitação na modalidade pregão, na forma eletrônica, para </w:t>
      </w:r>
      <w:r>
        <w:rPr>
          <w:rFonts w:cs="Verdana" w:ascii="Verdana" w:hAnsi="Verdana"/>
          <w:b/>
          <w:bCs/>
          <w:color w:val="FF0000"/>
          <w:sz w:val="20"/>
          <w:szCs w:val="20"/>
        </w:rPr>
        <w:t>REGISTRO DE PREÇOS nº 06</w:t>
      </w:r>
      <w:r>
        <w:rPr>
          <w:rFonts w:cs="Verdana" w:ascii="Verdana" w:hAnsi="Verdana"/>
          <w:b/>
          <w:bCs/>
          <w:color w:val="FF0000"/>
          <w:sz w:val="20"/>
          <w:szCs w:val="20"/>
        </w:rPr>
        <w:t>9</w:t>
      </w:r>
      <w:r>
        <w:rPr>
          <w:rFonts w:cs="Verdana" w:ascii="Verdana" w:hAnsi="Verdana"/>
          <w:b/>
          <w:bCs/>
          <w:color w:val="FF0000"/>
          <w:sz w:val="20"/>
          <w:szCs w:val="20"/>
        </w:rPr>
        <w:t>/2025,</w:t>
      </w:r>
      <w:r>
        <w:rPr>
          <w:rFonts w:cs="Verdana" w:ascii="Verdana" w:hAnsi="Verdana"/>
          <w:sz w:val="20"/>
          <w:szCs w:val="20"/>
        </w:rPr>
        <w:t xml:space="preserve"> publicada no ...... de ...../...../202....., </w:t>
      </w:r>
      <w:r>
        <w:rPr>
          <w:rFonts w:cs="Verdana" w:ascii="Verdana" w:hAnsi="Verdana"/>
          <w:b/>
          <w:bCs/>
          <w:color w:val="FF0000"/>
          <w:sz w:val="20"/>
          <w:szCs w:val="20"/>
        </w:rPr>
        <w:t>Processo Administrativo n.º 0</w:t>
      </w:r>
      <w:r>
        <w:rPr>
          <w:rFonts w:cs="Verdana" w:ascii="Verdana" w:hAnsi="Verdana"/>
          <w:b/>
          <w:bCs/>
          <w:color w:val="FF0000"/>
          <w:sz w:val="20"/>
          <w:szCs w:val="20"/>
        </w:rPr>
        <w:t>7625</w:t>
      </w:r>
      <w:r>
        <w:rPr>
          <w:rFonts w:cs="Verdana" w:ascii="Verdana" w:hAnsi="Verdana"/>
          <w:b/>
          <w:bCs/>
          <w:color w:val="FF0000"/>
          <w:sz w:val="20"/>
          <w:szCs w:val="20"/>
        </w:rPr>
        <w:t xml:space="preserve">/2025 de </w:t>
      </w:r>
      <w:r>
        <w:rPr>
          <w:rFonts w:cs="Verdana" w:ascii="Verdana" w:hAnsi="Verdana"/>
          <w:b/>
          <w:bCs/>
          <w:color w:val="FF0000"/>
          <w:sz w:val="20"/>
          <w:szCs w:val="20"/>
        </w:rPr>
        <w:t>17</w:t>
      </w:r>
      <w:r>
        <w:rPr>
          <w:rFonts w:cs="Verdana" w:ascii="Verdana" w:hAnsi="Verdana"/>
          <w:b/>
          <w:bCs/>
          <w:color w:val="FF0000"/>
          <w:sz w:val="20"/>
          <w:szCs w:val="20"/>
        </w:rPr>
        <w:t>/</w:t>
      </w:r>
      <w:r>
        <w:rPr>
          <w:rFonts w:cs="Verdana" w:ascii="Verdana" w:hAnsi="Verdana"/>
          <w:b/>
          <w:bCs/>
          <w:color w:val="FF0000"/>
          <w:sz w:val="20"/>
          <w:szCs w:val="20"/>
        </w:rPr>
        <w:t>10</w:t>
      </w:r>
      <w:r>
        <w:rPr>
          <w:rFonts w:cs="Verdana" w:ascii="Verdana" w:hAnsi="Verdana"/>
          <w:b/>
          <w:bCs/>
          <w:color w:val="FF0000"/>
          <w:sz w:val="20"/>
          <w:szCs w:val="20"/>
        </w:rPr>
        <w:t>/2025,</w:t>
      </w:r>
      <w:r>
        <w:rPr>
          <w:rFonts w:cs="Verdana" w:ascii="Verdana" w:hAnsi="Verdana"/>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Federal n.º 11.462, de 31 de março de 2023, Decreto Municipal 3609/2023, e em conformidade com as disposições a seguir:</w:t>
      </w:r>
    </w:p>
    <w:p>
      <w:pPr>
        <w:pStyle w:val="Normal"/>
        <w:spacing w:lineRule="auto" w:line="240" w:before="0" w:after="0"/>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0" w:after="0"/>
        <w:ind w:hanging="0" w:start="0" w:end="0"/>
        <w:jc w:val="both"/>
        <w:rPr/>
      </w:pPr>
      <w:r>
        <w:rPr>
          <w:rFonts w:cs="Verdana" w:ascii="Verdana" w:hAnsi="Verdana"/>
          <w:b/>
          <w:sz w:val="20"/>
          <w:szCs w:val="20"/>
          <w:u w:val="single"/>
        </w:rPr>
        <w:t>CLÁUSULA PRIMEIRA – DO OBJETO</w:t>
      </w:r>
    </w:p>
    <w:p>
      <w:pPr>
        <w:pStyle w:val="Normal"/>
        <w:tabs>
          <w:tab w:val="clear" w:pos="708"/>
          <w:tab w:val="left" w:pos="10348" w:leader="none"/>
        </w:tabs>
        <w:spacing w:lineRule="auto" w:line="240" w:before="0" w:after="0"/>
        <w:ind w:hanging="0" w:start="0" w:end="0"/>
        <w:jc w:val="both"/>
        <w:rPr/>
      </w:pPr>
      <w:r>
        <w:rPr>
          <w:rFonts w:cs="Verdana" w:ascii="Verdana" w:hAnsi="Verdana"/>
          <w:b/>
          <w:sz w:val="20"/>
          <w:szCs w:val="20"/>
        </w:rPr>
        <w:t xml:space="preserve">1.1 – OBJETO: </w:t>
      </w:r>
      <w:r>
        <w:rPr>
          <w:rFonts w:cs="Verdana" w:ascii="Verdana" w:hAnsi="Verdana"/>
          <w:sz w:val="20"/>
          <w:szCs w:val="20"/>
        </w:rPr>
        <w:t xml:space="preserve">Esta Ata tem por objeto o </w:t>
      </w:r>
      <w:r>
        <w:rPr>
          <w:rFonts w:eastAsia="Batang;바탕" w:cs="Verdana" w:ascii="Verdana" w:hAnsi="Verdana"/>
          <w:b/>
          <w:i/>
          <w:sz w:val="20"/>
          <w:szCs w:val="20"/>
        </w:rPr>
        <w:t>Registro de Preços,</w:t>
      </w:r>
      <w:r>
        <w:rPr>
          <w:rFonts w:eastAsia="Batang;바탕" w:cs="Verdana" w:ascii="Verdana" w:hAnsi="Verdana"/>
          <w:sz w:val="20"/>
          <w:szCs w:val="20"/>
        </w:rPr>
        <w:t xml:space="preserve"> para futura e eventual </w:t>
      </w:r>
      <w:r>
        <w:rPr>
          <w:rFonts w:eastAsia="Calibri" w:cs="Arial" w:ascii="Verdana" w:hAnsi="Verdana"/>
          <w:b w:val="false"/>
          <w:bCs w:val="false"/>
          <w:iCs/>
          <w:color w:val="000000"/>
          <w:kern w:val="0"/>
          <w:sz w:val="20"/>
          <w:szCs w:val="20"/>
          <w:shd w:fill="auto" w:val="clear"/>
          <w:lang w:val="pt-BR" w:eastAsia="zh-CN" w:bidi="ar-SA"/>
        </w:rPr>
        <w:t>aquisição</w:t>
      </w:r>
      <w:r>
        <w:rPr>
          <w:rFonts w:eastAsia="Times New Roman" w:cs="Arial" w:ascii="Verdana" w:hAnsi="Verdana"/>
          <w:b w:val="false"/>
          <w:bCs w:val="false"/>
          <w:iCs/>
          <w:color w:val="000000"/>
          <w:kern w:val="2"/>
          <w:sz w:val="20"/>
          <w:szCs w:val="20"/>
          <w:shd w:fill="auto" w:val="clear"/>
          <w:lang w:eastAsia="en-US" w:bidi="pt-BR"/>
        </w:rPr>
        <w:t xml:space="preserve"> de brinquedos para os eventos organizados e executados pela Secretaria de Assistência Social no ano de 2025 e 2026</w:t>
      </w:r>
      <w:r>
        <w:rPr>
          <w:rFonts w:eastAsia="Times New Roman" w:cs="Arial" w:ascii="Verdana" w:hAnsi="Verdana"/>
          <w:b w:val="false"/>
          <w:bCs w:val="false"/>
          <w:iCs/>
          <w:color w:themeColor="text1" w:val="000000"/>
          <w:kern w:val="2"/>
          <w:sz w:val="20"/>
          <w:szCs w:val="20"/>
          <w:lang w:eastAsia="en-US" w:bidi="pt-BR"/>
        </w:rPr>
        <w:t xml:space="preserve">, </w:t>
      </w:r>
      <w:r>
        <w:rPr>
          <w:rFonts w:eastAsia="Times New Roman" w:cs="Arial" w:ascii="Verdana" w:hAnsi="Verdana"/>
          <w:b w:val="false"/>
          <w:bCs w:val="false"/>
          <w:iCs/>
          <w:color w:val="000000"/>
          <w:kern w:val="2"/>
          <w:sz w:val="20"/>
          <w:szCs w:val="20"/>
          <w:shd w:fill="auto" w:val="clear"/>
          <w:lang w:eastAsia="en-US" w:bidi="pt-BR"/>
        </w:rPr>
        <w:t xml:space="preserve">como “Sorriso de criança” e “Natal Encantado”, dentre outros, com público beneficiário da Política de Assistência Social e tantos outros eventos realizados no decorrer do ano, são utilizados esse serviço para proporcionar momentos de integração, interação e diversão dos participantes, </w:t>
      </w:r>
      <w:r>
        <w:rPr>
          <w:rFonts w:eastAsia="Batang;바탕" w:cs="Arial" w:ascii="Verdana" w:hAnsi="Verdana"/>
          <w:iCs/>
          <w:color w:themeColor="text1" w:val="000000"/>
          <w:kern w:val="2"/>
          <w:sz w:val="20"/>
          <w:szCs w:val="20"/>
          <w:lang w:eastAsia="en-US" w:bidi="pt-BR"/>
        </w:rPr>
        <w:t>de acordo com os critérios e condições estabelecidas neste Termo de Referência, ETP e seus Anexos.</w:t>
      </w:r>
    </w:p>
    <w:p>
      <w:pPr>
        <w:pStyle w:val="Normal"/>
        <w:spacing w:lineRule="auto" w:line="240" w:before="0" w:after="0"/>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0" w:after="0"/>
        <w:ind w:hanging="0" w:start="0" w:end="0"/>
        <w:jc w:val="both"/>
        <w:rPr/>
      </w:pPr>
      <w:r>
        <w:rPr>
          <w:rFonts w:cs="Verdana" w:ascii="Verdana" w:hAnsi="Verdana"/>
          <w:b/>
          <w:sz w:val="20"/>
          <w:szCs w:val="20"/>
          <w:u w:val="single"/>
        </w:rPr>
        <w:t>CLÁUSULA SEGUNDA – DOS PREÇOS, ESPECIFICAÇÕES E QUANTITATIVOS</w:t>
      </w:r>
    </w:p>
    <w:p>
      <w:pPr>
        <w:pStyle w:val="Normal"/>
        <w:spacing w:lineRule="auto" w:line="240" w:before="57" w:after="57"/>
        <w:ind w:hanging="0" w:start="0" w:end="0"/>
        <w:jc w:val="both"/>
        <w:rPr/>
      </w:pPr>
      <w:r>
        <w:rPr>
          <w:rFonts w:cs="Verdana" w:ascii="Verdana" w:hAnsi="Verdana"/>
          <w:b/>
          <w:bCs/>
          <w:sz w:val="20"/>
          <w:szCs w:val="20"/>
        </w:rPr>
        <w:t>2.1</w:t>
      </w:r>
      <w:r>
        <w:rPr>
          <w:rFonts w:cs="Verdana" w:ascii="Verdana" w:hAnsi="Verdana"/>
          <w:sz w:val="20"/>
          <w:szCs w:val="20"/>
        </w:rPr>
        <w:t xml:space="preserve"> </w:t>
      </w:r>
      <w:r>
        <w:rPr>
          <w:rFonts w:cs="Verdana" w:ascii="Verdana" w:hAnsi="Verdana"/>
          <w:sz w:val="20"/>
          <w:szCs w:val="20"/>
          <w:lang w:eastAsia="pt-BR"/>
        </w:rPr>
        <w:t xml:space="preserve">O valor global desta ATA é de </w:t>
      </w:r>
      <w:r>
        <w:rPr>
          <w:rFonts w:cs="Verdana" w:ascii="Verdana" w:hAnsi="Verdana"/>
          <w:b/>
          <w:bCs/>
          <w:sz w:val="20"/>
          <w:szCs w:val="20"/>
          <w:lang w:eastAsia="pt-BR"/>
        </w:rPr>
        <w:t>R$ xxxxxxxx (xxxxxxxxxx)</w:t>
      </w:r>
      <w:r>
        <w:rPr>
          <w:rFonts w:cs="Verdana" w:ascii="Verdana" w:hAnsi="Verdana"/>
          <w:sz w:val="20"/>
          <w:szCs w:val="20"/>
          <w:lang w:eastAsia="pt-BR"/>
        </w:rPr>
        <w:t>.</w:t>
      </w:r>
    </w:p>
    <w:p>
      <w:pPr>
        <w:pStyle w:val="Normal"/>
        <w:spacing w:lineRule="auto" w:line="240" w:before="57" w:after="57"/>
        <w:ind w:hanging="0" w:start="0" w:end="0"/>
        <w:jc w:val="both"/>
        <w:rPr/>
      </w:pPr>
      <w:r>
        <w:rPr>
          <w:rFonts w:cs="Verdana" w:ascii="Verdana" w:hAnsi="Verdana"/>
          <w:b/>
          <w:bCs/>
          <w:sz w:val="20"/>
          <w:szCs w:val="20"/>
          <w:u w:val="single"/>
        </w:rPr>
        <w:t>2.2</w:t>
      </w:r>
      <w:r>
        <w:rPr>
          <w:rFonts w:cs="Verdana" w:ascii="Verdana" w:hAnsi="Verdana"/>
          <w:b/>
          <w:sz w:val="20"/>
          <w:szCs w:val="20"/>
          <w:u w:val="single"/>
          <w:lang w:eastAsia="pt-BR"/>
        </w:rPr>
        <w:t xml:space="preserve"> Os valores unitários dos itens registrados são os constantes da tabela abaixo:</w:t>
      </w:r>
    </w:p>
    <w:tbl>
      <w:tblPr>
        <w:tblW w:w="9089" w:type="dxa"/>
        <w:jc w:val="start"/>
        <w:tblInd w:w="122" w:type="dxa"/>
        <w:tblLayout w:type="fixed"/>
        <w:tblCellMar>
          <w:top w:w="0" w:type="dxa"/>
          <w:start w:w="108" w:type="dxa"/>
          <w:bottom w:w="0" w:type="dxa"/>
          <w:end w:w="108" w:type="dxa"/>
        </w:tblCellMar>
      </w:tblPr>
      <w:tblGrid>
        <w:gridCol w:w="977"/>
        <w:gridCol w:w="3327"/>
        <w:gridCol w:w="1069"/>
        <w:gridCol w:w="850"/>
        <w:gridCol w:w="1419"/>
        <w:gridCol w:w="1446"/>
      </w:tblGrid>
      <w:tr>
        <w:trPr/>
        <w:tc>
          <w:tcPr>
            <w:tcW w:w="97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pPr>
            <w:r>
              <w:rPr>
                <w:rFonts w:cs="Verdana" w:ascii="Verdana" w:hAnsi="Verdana"/>
                <w:b/>
                <w:sz w:val="20"/>
                <w:szCs w:val="20"/>
              </w:rPr>
              <w:t>ITEM</w:t>
            </w:r>
          </w:p>
        </w:tc>
        <w:tc>
          <w:tcPr>
            <w:tcW w:w="332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pPr>
            <w:r>
              <w:rPr>
                <w:rFonts w:cs="Verdana" w:ascii="Verdana" w:hAnsi="Verdana"/>
                <w:b/>
                <w:sz w:val="20"/>
                <w:szCs w:val="20"/>
              </w:rPr>
              <w:t>ESPECIFICAÇÃO</w:t>
            </w:r>
          </w:p>
        </w:tc>
        <w:tc>
          <w:tcPr>
            <w:tcW w:w="106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pPr>
            <w:r>
              <w:rPr>
                <w:rFonts w:cs="Verdana" w:ascii="Verdana" w:hAnsi="Verdana"/>
                <w:b/>
                <w:sz w:val="20"/>
                <w:szCs w:val="20"/>
              </w:rPr>
              <w:t>UNID</w:t>
            </w:r>
          </w:p>
        </w:tc>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pPr>
            <w:r>
              <w:rPr>
                <w:rFonts w:cs="Verdana" w:ascii="Verdana" w:hAnsi="Verdana"/>
                <w:b/>
                <w:sz w:val="20"/>
                <w:szCs w:val="20"/>
              </w:rPr>
              <w:t>QTD</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pPr>
            <w:r>
              <w:rPr>
                <w:rFonts w:cs="Verdana" w:ascii="Verdana" w:hAnsi="Verdana"/>
                <w:b/>
                <w:sz w:val="20"/>
                <w:szCs w:val="20"/>
              </w:rPr>
              <w:t>VLR UNIT</w:t>
            </w:r>
          </w:p>
        </w:tc>
        <w:tc>
          <w:tcPr>
            <w:tcW w:w="144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hanging="0" w:start="0" w:end="0"/>
              <w:jc w:val="center"/>
              <w:rPr/>
            </w:pPr>
            <w:r>
              <w:rPr>
                <w:rFonts w:cs="Verdana" w:ascii="Verdana" w:hAnsi="Verdana"/>
                <w:b/>
                <w:sz w:val="20"/>
                <w:szCs w:val="20"/>
              </w:rPr>
              <w:t>VLR TOTAL</w:t>
            </w:r>
          </w:p>
        </w:tc>
      </w:tr>
      <w:tr>
        <w:trPr/>
        <w:tc>
          <w:tcPr>
            <w:tcW w:w="977"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3327"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1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c>
          <w:tcPr>
            <w:tcW w:w="1446"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tc>
      </w:tr>
    </w:tbl>
    <w:p>
      <w:pPr>
        <w:pStyle w:val="Normal"/>
        <w:suppressAutoHyphens w:val="false"/>
        <w:spacing w:lineRule="auto" w:line="240" w:before="57" w:after="57"/>
        <w:ind w:hanging="0" w:start="0" w:end="0"/>
        <w:jc w:val="both"/>
        <w:rPr/>
      </w:pPr>
      <w:r>
        <w:rPr>
          <w:rFonts w:cs="Verdana" w:ascii="Verdana" w:hAnsi="Verdana"/>
          <w:b/>
          <w:sz w:val="20"/>
          <w:szCs w:val="20"/>
        </w:rPr>
        <w:t xml:space="preserve">2.3 </w:t>
      </w:r>
      <w:r>
        <w:rPr>
          <w:rFonts w:cs="Verdana" w:ascii="Verdana" w:hAnsi="Verdana"/>
          <w:sz w:val="20"/>
          <w:szCs w:val="20"/>
          <w:lang w:eastAsia="pt-BR"/>
        </w:rPr>
        <w:t xml:space="preserve">O(s) preço(s) registrado(s) corresponde(m) ao valor por item constante(s) da(s) proposta(s) de preços apresentada(s) no </w:t>
      </w:r>
      <w:r>
        <w:rPr>
          <w:rFonts w:cs="Verdana" w:ascii="Verdana" w:hAnsi="Verdana"/>
          <w:b/>
          <w:bCs/>
          <w:color w:val="FF0000"/>
          <w:sz w:val="20"/>
          <w:szCs w:val="20"/>
          <w:lang w:eastAsia="pt-BR"/>
        </w:rPr>
        <w:t>Pregão Eletrônico nº 06</w:t>
      </w:r>
      <w:r>
        <w:rPr>
          <w:rFonts w:cs="Verdana" w:ascii="Verdana" w:hAnsi="Verdana"/>
          <w:b/>
          <w:bCs/>
          <w:color w:val="FF0000"/>
          <w:sz w:val="20"/>
          <w:szCs w:val="20"/>
          <w:lang w:eastAsia="pt-BR"/>
        </w:rPr>
        <w:t>9</w:t>
      </w:r>
      <w:r>
        <w:rPr>
          <w:rFonts w:cs="Verdana" w:ascii="Verdana" w:hAnsi="Verdana"/>
          <w:b/>
          <w:bCs/>
          <w:color w:val="FF0000"/>
          <w:sz w:val="20"/>
          <w:szCs w:val="20"/>
          <w:lang w:eastAsia="pt-BR"/>
        </w:rPr>
        <w:t>/2025</w:t>
      </w:r>
      <w:r>
        <w:rPr>
          <w:rFonts w:cs="Verdana" w:ascii="Verdana" w:hAnsi="Verdana"/>
          <w:sz w:val="20"/>
          <w:szCs w:val="20"/>
          <w:lang w:eastAsia="pt-BR"/>
        </w:rPr>
        <w:t>, que faz parte integrante deste instrumento, independentemente de transcrição.</w:t>
      </w:r>
    </w:p>
    <w:p>
      <w:pPr>
        <w:pStyle w:val="Normal"/>
        <w:suppressAutoHyphens w:val="false"/>
        <w:spacing w:lineRule="auto" w:line="240" w:before="0" w:after="0"/>
        <w:ind w:hanging="0" w:start="0" w:end="0"/>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40" w:before="57" w:after="57"/>
        <w:ind w:hanging="0" w:start="0" w:end="0"/>
        <w:jc w:val="both"/>
        <w:rPr/>
      </w:pPr>
      <w:r>
        <w:rPr>
          <w:rFonts w:cs="Verdana" w:ascii="Verdana" w:hAnsi="Verdana"/>
          <w:b/>
          <w:sz w:val="20"/>
          <w:szCs w:val="20"/>
          <w:u w:val="single"/>
        </w:rPr>
        <w:t>CLÁUSULA TERCEIRA – ÓRGÃO GERENCIADOR E PARTICIPANTES</w:t>
      </w:r>
    </w:p>
    <w:p>
      <w:pPr>
        <w:pStyle w:val="Normal"/>
        <w:suppressAutoHyphens w:val="false"/>
        <w:spacing w:lineRule="auto" w:line="240" w:before="57" w:after="57"/>
        <w:ind w:hanging="0" w:start="0" w:end="0"/>
        <w:jc w:val="both"/>
        <w:rPr/>
      </w:pPr>
      <w:r>
        <w:rPr>
          <w:rFonts w:cs="Verdana" w:ascii="Verdana" w:hAnsi="Verdana"/>
          <w:b/>
          <w:bCs/>
          <w:sz w:val="20"/>
          <w:szCs w:val="20"/>
          <w:lang w:eastAsia="pt-BR"/>
        </w:rPr>
        <w:t xml:space="preserve">3.1 </w:t>
      </w:r>
      <w:r>
        <w:rPr>
          <w:rFonts w:cs="Verdana" w:ascii="Verdana" w:hAnsi="Verdana"/>
          <w:sz w:val="20"/>
          <w:szCs w:val="20"/>
          <w:lang w:eastAsia="pt-BR"/>
        </w:rPr>
        <w:t>Integram a presente Ata de Registro de Preços, mediante anuência aos procedimentos realizados pelo Órgão Gerenciador na qualidade de Órgãos Participantes:</w:t>
      </w:r>
    </w:p>
    <w:p>
      <w:pPr>
        <w:pStyle w:val="Normal"/>
        <w:spacing w:lineRule="auto" w:line="240" w:before="0" w:after="0"/>
        <w:ind w:hanging="0" w:start="0" w:end="0"/>
        <w:jc w:val="both"/>
        <w:rPr/>
      </w:pPr>
      <w:r>
        <w:rPr>
          <w:rFonts w:cs="Verdana" w:ascii="Verdana" w:hAnsi="Verdana"/>
          <w:sz w:val="20"/>
          <w:szCs w:val="20"/>
          <w:lang w:eastAsia="pt-BR"/>
        </w:rPr>
        <w:t>3.1.1</w:t>
      </w:r>
      <w:r>
        <w:rPr>
          <w:rFonts w:cs="Verdana" w:ascii="Verdana" w:hAnsi="Verdana"/>
          <w:b/>
          <w:bCs/>
          <w:sz w:val="20"/>
          <w:szCs w:val="20"/>
          <w:lang w:eastAsia="pt-BR"/>
        </w:rPr>
        <w:t xml:space="preserve"> SECRETARIA MUNICIPAL DE ASSISTÊNCIA, DESENVOLVIMENTO SOCIAL E FAMÍLIA, </w:t>
      </w:r>
      <w:r>
        <w:rPr>
          <w:rFonts w:cs="Verdana" w:ascii="Verdana" w:hAnsi="Verdana"/>
          <w:sz w:val="20"/>
          <w:szCs w:val="20"/>
          <w:lang w:eastAsia="pt-BR"/>
        </w:rPr>
        <w:t>inscrita no CNPJ sob o nº XX.XXX.XXX/XXXX-XX.</w:t>
      </w:r>
    </w:p>
    <w:p>
      <w:pPr>
        <w:pStyle w:val="Normal"/>
        <w:spacing w:lineRule="auto" w:line="240" w:before="0" w:after="0"/>
        <w:ind w:hanging="0" w:start="0" w:end="0"/>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40" w:before="0" w:after="0"/>
        <w:ind w:hanging="0" w:start="0" w:end="0"/>
        <w:jc w:val="both"/>
        <w:rPr/>
      </w:pPr>
      <w:r>
        <w:rPr>
          <w:rFonts w:cs="Verdana" w:ascii="Verdana" w:hAnsi="Verdana"/>
          <w:b/>
          <w:sz w:val="20"/>
          <w:szCs w:val="20"/>
          <w:u w:val="single"/>
        </w:rPr>
        <w:t>CLÁUSULA QUARTA – DA ADESÃO À ATA DE REGISTRO DE PREÇOS</w:t>
      </w:r>
    </w:p>
    <w:p>
      <w:pPr>
        <w:pStyle w:val="Normal"/>
        <w:spacing w:lineRule="auto" w:line="240" w:before="0" w:after="0"/>
        <w:ind w:hanging="0" w:start="0" w:end="0"/>
        <w:jc w:val="both"/>
        <w:rPr/>
      </w:pPr>
      <w:r>
        <w:rPr>
          <w:rFonts w:cs="Verdana" w:ascii="Verdana" w:hAnsi="Verdana"/>
          <w:b/>
          <w:sz w:val="20"/>
          <w:szCs w:val="20"/>
        </w:rPr>
        <w:t xml:space="preserve">4.1 </w:t>
      </w:r>
      <w:r>
        <w:rPr>
          <w:rFonts w:cs="Verdana" w:ascii="Verdana" w:hAnsi="Verdana"/>
          <w:b w:val="false"/>
          <w:bCs w:val="false"/>
          <w:sz w:val="20"/>
          <w:szCs w:val="20"/>
        </w:rPr>
        <w:t>Será</w:t>
      </w:r>
      <w:r>
        <w:rPr>
          <w:rFonts w:cs="Verdana" w:ascii="Verdana" w:hAnsi="Verdana"/>
          <w:sz w:val="20"/>
          <w:szCs w:val="20"/>
          <w:lang w:eastAsia="en-US"/>
        </w:rPr>
        <w:t xml:space="preserve"> admitida a adesão à Ata de Registro de Preços decorrente desta licitação ou desta contratação direta.</w:t>
      </w:r>
    </w:p>
    <w:p>
      <w:pPr>
        <w:pStyle w:val="Normal"/>
        <w:spacing w:lineRule="auto" w:line="240" w:before="0" w:after="0"/>
        <w:ind w:hanging="0" w:start="0" w:end="0"/>
        <w:jc w:val="both"/>
        <w:rPr>
          <w:rFonts w:ascii="Verdana" w:hAnsi="Verdana"/>
          <w:sz w:val="20"/>
          <w:szCs w:val="20"/>
        </w:rPr>
      </w:pPr>
      <w:r>
        <w:rPr>
          <w:rFonts w:ascii="Verdana" w:hAnsi="Verdana"/>
          <w:sz w:val="20"/>
          <w:szCs w:val="20"/>
        </w:rPr>
      </w:r>
    </w:p>
    <w:p>
      <w:pPr>
        <w:pStyle w:val="Normal"/>
        <w:spacing w:lineRule="auto" w:line="240" w:before="0" w:after="0"/>
        <w:ind w:hanging="0" w:start="0" w:end="0"/>
        <w:jc w:val="both"/>
        <w:rPr/>
      </w:pPr>
      <w:r>
        <w:rPr>
          <w:rFonts w:cs="Verdana" w:ascii="Verdana" w:hAnsi="Verdana"/>
          <w:b/>
          <w:sz w:val="20"/>
          <w:szCs w:val="20"/>
          <w:u w:val="single"/>
        </w:rPr>
        <w:t xml:space="preserve">CLÁUSULA QUINTA – DA </w:t>
      </w:r>
      <w:r>
        <w:rPr>
          <w:rFonts w:cs="Verdana" w:ascii="Verdana" w:hAnsi="Verdana"/>
          <w:b/>
          <w:bCs/>
          <w:sz w:val="20"/>
          <w:szCs w:val="20"/>
          <w:u w:val="single"/>
        </w:rPr>
        <w:t>VALIDADE, FORMALIZAÇÃO DA ATA DE REGISTRO DE PREÇOS, CADASTRO RESERVA E PRORROGAÇÃO</w:t>
      </w:r>
    </w:p>
    <w:p>
      <w:pPr>
        <w:pStyle w:val="Normal"/>
        <w:spacing w:lineRule="auto" w:line="240" w:before="57" w:after="57"/>
        <w:ind w:hanging="0" w:start="0" w:end="0"/>
        <w:jc w:val="both"/>
        <w:rPr/>
      </w:pPr>
      <w:r>
        <w:rPr>
          <w:rFonts w:cs="Verdana" w:ascii="Verdana" w:hAnsi="Verdana"/>
          <w:b/>
          <w:bCs/>
          <w:sz w:val="20"/>
          <w:szCs w:val="20"/>
        </w:rPr>
        <w:t xml:space="preserve">5.1 </w:t>
      </w:r>
      <w:r>
        <w:rPr>
          <w:rFonts w:cs="Verdana" w:ascii="Verdana" w:hAnsi="Verdana"/>
          <w:b/>
          <w:bCs/>
          <w:vanish/>
          <w:sz w:val="20"/>
          <w:szCs w:val="20"/>
          <w:lang w:eastAsia="en-US"/>
        </w:rPr>
        <w:t xml:space="preserve">2.1 22222222222.   </w:t>
      </w:r>
      <w:r>
        <w:rPr>
          <w:rFonts w:cs="Verdana" w:ascii="Verdana" w:hAnsi="Verdana"/>
          <w:sz w:val="20"/>
          <w:szCs w:val="20"/>
        </w:rPr>
        <w:t xml:space="preserve">A validade da Ata de Registro de Preços será de 1 (um) ano, contado a partir do primeiro dia útil subsequente à data de divulgação no veículo de imprensa oficial do município de São Gabriel da Palha-ES (DIÁRIO OFICIAL DOS MUNICÍPIOS – AMUNES), </w:t>
      </w:r>
      <w:r>
        <w:rPr>
          <w:rFonts w:cs="Verdana" w:ascii="Verdana" w:hAnsi="Verdana"/>
          <w:b/>
          <w:bCs/>
          <w:sz w:val="20"/>
          <w:szCs w:val="20"/>
        </w:rPr>
        <w:t>podendo ser prorrogada por igual período, mediante a anuência do fornecedor, desde que comprovado o preço vantajoso.</w:t>
      </w:r>
    </w:p>
    <w:p>
      <w:pPr>
        <w:pStyle w:val="Nvel3"/>
        <w:numPr>
          <w:ilvl w:val="0"/>
          <w:numId w:val="0"/>
        </w:numPr>
        <w:tabs>
          <w:tab w:val="clear" w:pos="708"/>
          <w:tab w:val="left" w:pos="735" w:leader="none"/>
          <w:tab w:val="left" w:pos="993" w:leader="none"/>
        </w:tabs>
        <w:spacing w:lineRule="auto" w:line="240" w:before="57" w:after="57"/>
        <w:ind w:hanging="0" w:start="0" w:end="0"/>
        <w:rPr/>
      </w:pPr>
      <w:r>
        <w:rPr>
          <w:rFonts w:cs="Verdana" w:ascii="Verdana" w:hAnsi="Verdana"/>
          <w:sz w:val="20"/>
          <w:szCs w:val="20"/>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sz w:val="20"/>
          <w:szCs w:val="20"/>
        </w:rPr>
        <w:t>5.1.2</w:t>
      </w:r>
      <w:r>
        <w:rPr>
          <w:rFonts w:cs="Verdana" w:ascii="Verdana" w:hAnsi="Verdana"/>
          <w:b/>
          <w:bCs/>
          <w:sz w:val="20"/>
          <w:szCs w:val="20"/>
        </w:rPr>
        <w:t xml:space="preserve"> </w:t>
      </w:r>
      <w:r>
        <w:rPr>
          <w:rFonts w:cs="Verdana" w:ascii="Verdana" w:hAnsi="Verdana"/>
          <w:sz w:val="20"/>
          <w:szCs w:val="20"/>
        </w:rPr>
        <w:t>Na formalização do contrato ou do instrumento substituto deverá haver a indicação da disponibilidade dos créditos orçamentários respectivos.</w:t>
      </w:r>
    </w:p>
    <w:p>
      <w:pPr>
        <w:pStyle w:val="Nivel2"/>
        <w:numPr>
          <w:ilvl w:val="0"/>
          <w:numId w:val="0"/>
        </w:numPr>
        <w:spacing w:lineRule="auto" w:line="240" w:before="57" w:after="57"/>
        <w:ind w:hanging="0" w:start="0" w:end="0"/>
        <w:rPr/>
      </w:pPr>
      <w:r>
        <w:rPr>
          <w:rFonts w:cs="Verdana" w:ascii="Verdana" w:hAnsi="Verdana"/>
          <w:b/>
          <w:bCs/>
          <w:sz w:val="20"/>
          <w:szCs w:val="20"/>
        </w:rPr>
        <w:t xml:space="preserve">5.2 </w:t>
      </w:r>
      <w:r>
        <w:rPr>
          <w:rFonts w:cs="Verdana" w:ascii="Verdana" w:hAnsi="Verdana"/>
          <w:sz w:val="20"/>
          <w:szCs w:val="20"/>
        </w:rPr>
        <w:t>A contratação com os fornecedores registrados na ata será formalizada pelo órgão ou pela en</w:t>
      </w:r>
      <w:r>
        <w:rPr>
          <w:rFonts w:eastAsia="Arial" w:cs="Verdana" w:ascii="Verdana" w:hAnsi="Verdana"/>
          <w:sz w:val="20"/>
          <w:szCs w:val="20"/>
        </w:rPr>
        <w:t>ti</w:t>
      </w:r>
      <w:r>
        <w:rPr>
          <w:rFonts w:cs="Verdana" w:ascii="Verdana" w:hAnsi="Verdana"/>
          <w:sz w:val="20"/>
          <w:szCs w:val="20"/>
        </w:rPr>
        <w:t>dade interessada por intermédio de instrumento contratual, emissão de nota de empenho de despesa, autorização de compra ou outro instrumento hábil, conforme o art. 95 da Lei nº 14.133, de 2021.</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sz w:val="20"/>
          <w:szCs w:val="20"/>
        </w:rPr>
        <w:t>5.2.1 O instrumento contratual de que trata o item 5.2 deverá ser assinado no prazo de validade da ata de registro de preços.</w:t>
      </w:r>
    </w:p>
    <w:p>
      <w:pPr>
        <w:pStyle w:val="Nivel2"/>
        <w:numPr>
          <w:ilvl w:val="0"/>
          <w:numId w:val="0"/>
        </w:numPr>
        <w:spacing w:lineRule="auto" w:line="240" w:before="57" w:after="57"/>
        <w:ind w:hanging="0" w:start="0" w:end="0"/>
        <w:rPr/>
      </w:pPr>
      <w:r>
        <w:rPr>
          <w:rFonts w:cs="Verdana" w:ascii="Verdana" w:hAnsi="Verdana"/>
          <w:b/>
          <w:bCs/>
          <w:sz w:val="20"/>
          <w:szCs w:val="20"/>
        </w:rPr>
        <w:t>5.3</w:t>
      </w:r>
      <w:r>
        <w:rPr>
          <w:rFonts w:cs="Verdana" w:ascii="Verdana" w:hAnsi="Verdana"/>
          <w:sz w:val="20"/>
          <w:szCs w:val="20"/>
        </w:rPr>
        <w:t xml:space="preserve"> Os contratos decorrentes do sistema de registro de preços poderão ser alterados, observado o art. 124 da Lei nº 14.133, de 2021.</w:t>
      </w:r>
    </w:p>
    <w:p>
      <w:pPr>
        <w:pStyle w:val="Nivel2"/>
        <w:numPr>
          <w:ilvl w:val="0"/>
          <w:numId w:val="0"/>
        </w:numPr>
        <w:spacing w:lineRule="auto" w:line="240" w:before="57" w:after="57"/>
        <w:ind w:hanging="0" w:start="0" w:end="0"/>
        <w:rPr/>
      </w:pPr>
      <w:r>
        <w:rPr>
          <w:rFonts w:cs="Verdana" w:ascii="Verdana" w:hAnsi="Verdana"/>
          <w:b/>
          <w:bCs/>
          <w:sz w:val="20"/>
          <w:szCs w:val="20"/>
        </w:rPr>
        <w:t>5.4</w:t>
      </w:r>
      <w:r>
        <w:rPr>
          <w:rFonts w:cs="Verdana" w:ascii="Verdana" w:hAnsi="Verdana"/>
          <w:sz w:val="20"/>
          <w:szCs w:val="20"/>
        </w:rPr>
        <w:t xml:space="preserve"> Após a homologação da licitação ou da contratação direta, deverão ser observadas as seguintes condições para formalização da ata de registro de preços:</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b w:val="false"/>
          <w:bCs w:val="false"/>
          <w:sz w:val="20"/>
          <w:szCs w:val="20"/>
        </w:rPr>
        <w:t>5.4.1</w:t>
      </w:r>
      <w:r>
        <w:rPr>
          <w:rFonts w:cs="Verdana" w:ascii="Verdana" w:hAnsi="Verdana"/>
          <w:sz w:val="20"/>
          <w:szCs w:val="20"/>
        </w:rPr>
        <w:t xml:space="preserve"> Serão registrados na ata os preços e os quantita</w:t>
      </w:r>
      <w:r>
        <w:rPr>
          <w:rFonts w:eastAsia="Arial" w:cs="Verdana" w:ascii="Verdana" w:hAnsi="Verdana"/>
          <w:sz w:val="20"/>
          <w:szCs w:val="20"/>
        </w:rPr>
        <w:t>ti</w:t>
      </w:r>
      <w:r>
        <w:rPr>
          <w:rFonts w:cs="Verdana" w:ascii="Verdana" w:hAnsi="Verdana"/>
          <w:sz w:val="20"/>
          <w:szCs w:val="20"/>
        </w:rPr>
        <w:t>vos do adjudicatário, devendo ser observada a possibilidade de o licitante oferecer ou não proposta em quantitativo inferior ao máximo previsto no edital</w:t>
      </w:r>
      <w:r>
        <w:rPr>
          <w:rFonts w:cs="Verdana" w:ascii="Verdana" w:hAnsi="Verdana"/>
          <w:i/>
          <w:iCs/>
          <w:sz w:val="20"/>
          <w:szCs w:val="20"/>
        </w:rPr>
        <w:t xml:space="preserve"> </w:t>
      </w:r>
      <w:r>
        <w:rPr>
          <w:rFonts w:cs="Verdana" w:ascii="Verdana" w:hAnsi="Verdana"/>
          <w:sz w:val="20"/>
          <w:szCs w:val="20"/>
        </w:rPr>
        <w:t>e se obrigar nos limites dela;</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b w:val="false"/>
          <w:bCs w:val="false"/>
          <w:sz w:val="20"/>
          <w:szCs w:val="20"/>
        </w:rPr>
        <w:t>5.4.2</w:t>
      </w:r>
      <w:r>
        <w:rPr>
          <w:rFonts w:cs="Verdana" w:ascii="Verdana" w:hAnsi="Verdana"/>
          <w:sz w:val="20"/>
          <w:szCs w:val="20"/>
        </w:rPr>
        <w:t xml:space="preserve"> Será incluído na ata, na forma de anexo, o registro dos licitantes ou dos fornecedores que:</w:t>
      </w:r>
    </w:p>
    <w:p>
      <w:pPr>
        <w:pStyle w:val="Nvel4"/>
        <w:numPr>
          <w:ilvl w:val="0"/>
          <w:numId w:val="0"/>
        </w:numPr>
        <w:tabs>
          <w:tab w:val="clear" w:pos="708"/>
          <w:tab w:val="left" w:pos="1095" w:leader="none"/>
        </w:tabs>
        <w:spacing w:lineRule="auto" w:line="240" w:before="57" w:after="57"/>
        <w:ind w:hanging="0" w:start="0" w:end="0"/>
        <w:rPr/>
      </w:pPr>
      <w:r>
        <w:rPr>
          <w:rFonts w:cs="Verdana" w:ascii="Verdana" w:hAnsi="Verdana"/>
          <w:b/>
          <w:bCs/>
          <w:i/>
          <w:iCs/>
          <w:sz w:val="20"/>
          <w:szCs w:val="20"/>
        </w:rPr>
        <w:t>5.4.2.1</w:t>
      </w:r>
      <w:r>
        <w:rPr>
          <w:rFonts w:cs="Verdana" w:ascii="Verdana" w:hAnsi="Verdana"/>
          <w:sz w:val="20"/>
          <w:szCs w:val="20"/>
        </w:rPr>
        <w:t xml:space="preserve"> Aceitarem cotar os bens, as obras ou os serviços com preços iguais aos do adjudicatário, observada a classificação da licitação; e </w:t>
      </w:r>
    </w:p>
    <w:p>
      <w:pPr>
        <w:pStyle w:val="Nvel4"/>
        <w:numPr>
          <w:ilvl w:val="0"/>
          <w:numId w:val="0"/>
        </w:numPr>
        <w:tabs>
          <w:tab w:val="clear" w:pos="708"/>
          <w:tab w:val="left" w:pos="1080" w:leader="none"/>
        </w:tabs>
        <w:spacing w:lineRule="auto" w:line="240" w:before="57" w:after="57"/>
        <w:ind w:hanging="0" w:start="0" w:end="0"/>
        <w:rPr/>
      </w:pPr>
      <w:r>
        <w:rPr>
          <w:rFonts w:cs="Verdana" w:ascii="Verdana" w:hAnsi="Verdana"/>
          <w:b/>
          <w:bCs/>
          <w:i/>
          <w:iCs/>
          <w:sz w:val="20"/>
          <w:szCs w:val="20"/>
        </w:rPr>
        <w:t>5.4.2.2</w:t>
      </w:r>
      <w:r>
        <w:rPr>
          <w:rFonts w:cs="Verdana" w:ascii="Verdana" w:hAnsi="Verdana"/>
          <w:sz w:val="20"/>
          <w:szCs w:val="20"/>
        </w:rPr>
        <w:t xml:space="preserve"> Mantiverem sua proposta original. </w:t>
      </w:r>
      <w:bookmarkStart w:id="0" w:name="cadastro_reserva"/>
      <w:bookmarkEnd w:id="0"/>
    </w:p>
    <w:p>
      <w:pPr>
        <w:pStyle w:val="Nvel3"/>
        <w:numPr>
          <w:ilvl w:val="0"/>
          <w:numId w:val="0"/>
        </w:numPr>
        <w:tabs>
          <w:tab w:val="clear" w:pos="708"/>
          <w:tab w:val="left" w:pos="1036" w:leader="none"/>
        </w:tabs>
        <w:spacing w:lineRule="auto" w:line="240" w:before="57" w:after="57"/>
        <w:ind w:hanging="0" w:start="0" w:end="0"/>
        <w:rPr/>
      </w:pPr>
      <w:r>
        <w:rPr>
          <w:rFonts w:cs="Verdana" w:ascii="Verdana" w:hAnsi="Verdana"/>
          <w:b w:val="false"/>
          <w:bCs w:val="false"/>
          <w:sz w:val="20"/>
          <w:szCs w:val="20"/>
        </w:rPr>
        <w:t>5.4.3</w:t>
      </w:r>
      <w:r>
        <w:rPr>
          <w:rFonts w:cs="Verdana" w:ascii="Verdana" w:hAnsi="Verdana"/>
          <w:b/>
          <w:bCs/>
          <w:sz w:val="20"/>
          <w:szCs w:val="20"/>
        </w:rPr>
        <w:t xml:space="preserve"> </w:t>
      </w:r>
      <w:r>
        <w:rPr>
          <w:rFonts w:cs="Verdana" w:ascii="Verdana" w:hAnsi="Verdana"/>
          <w:sz w:val="20"/>
          <w:szCs w:val="20"/>
        </w:rPr>
        <w:t>Será respeitada, nas contratações, a ordem de classificação dos licitantes ou dos fornecedores registrados na ata.</w:t>
      </w:r>
    </w:p>
    <w:p>
      <w:pPr>
        <w:pStyle w:val="Nivel2"/>
        <w:numPr>
          <w:ilvl w:val="0"/>
          <w:numId w:val="0"/>
        </w:numPr>
        <w:spacing w:lineRule="auto" w:line="240" w:before="57" w:after="57"/>
        <w:ind w:hanging="0" w:start="0" w:end="0"/>
        <w:rPr/>
      </w:pPr>
      <w:r>
        <w:rPr>
          <w:rFonts w:cs="Verdana" w:ascii="Verdana" w:hAnsi="Verdana"/>
          <w:b/>
          <w:bCs/>
          <w:sz w:val="20"/>
          <w:szCs w:val="20"/>
        </w:rPr>
        <w:t xml:space="preserve">5.5 </w:t>
      </w:r>
      <w:r>
        <w:rPr>
          <w:rFonts w:cs="Verdana" w:ascii="Verdana" w:hAnsi="Verdana"/>
          <w:sz w:val="20"/>
          <w:szCs w:val="20"/>
        </w:rPr>
        <w:t>O registro a que se refere o item 3.9</w:t>
      </w:r>
      <w:r>
        <w:rPr>
          <w:rFonts w:cs="Verdana" w:ascii="Verdana" w:hAnsi="Verdana"/>
          <w:b/>
          <w:bCs/>
          <w:sz w:val="20"/>
          <w:szCs w:val="20"/>
        </w:rPr>
        <w:t xml:space="preserve"> </w:t>
      </w:r>
      <w:r>
        <w:rPr>
          <w:rFonts w:cs="Verdana" w:ascii="Verdana" w:hAnsi="Verdana"/>
          <w:sz w:val="20"/>
          <w:szCs w:val="20"/>
        </w:rPr>
        <w:t>tem por obje</w:t>
      </w:r>
      <w:r>
        <w:rPr>
          <w:rFonts w:eastAsia="Arial" w:cs="Verdana" w:ascii="Verdana" w:hAnsi="Verdana"/>
          <w:sz w:val="20"/>
          <w:szCs w:val="20"/>
        </w:rPr>
        <w:t>ti</w:t>
      </w:r>
      <w:r>
        <w:rPr>
          <w:rFonts w:cs="Verdana" w:ascii="Verdana" w:hAnsi="Verdana"/>
          <w:sz w:val="20"/>
          <w:szCs w:val="20"/>
        </w:rPr>
        <w:t>vo a formação de cadastro de reserva para o caso de impossibilidade de atendimento pelo signatário da ata.</w:t>
      </w:r>
    </w:p>
    <w:p>
      <w:pPr>
        <w:pStyle w:val="Nivel2"/>
        <w:numPr>
          <w:ilvl w:val="0"/>
          <w:numId w:val="0"/>
        </w:numPr>
        <w:spacing w:lineRule="auto" w:line="240" w:before="57" w:after="57"/>
        <w:ind w:hanging="0" w:start="0" w:end="0"/>
        <w:rPr/>
      </w:pPr>
      <w:r>
        <w:rPr>
          <w:rFonts w:cs="Verdana" w:ascii="Verdana" w:hAnsi="Verdana"/>
          <w:b/>
          <w:bCs/>
          <w:sz w:val="20"/>
          <w:szCs w:val="20"/>
        </w:rPr>
        <w:t>5.6</w:t>
      </w:r>
      <w:r>
        <w:rPr>
          <w:rFonts w:cs="Verdana" w:ascii="Verdana" w:hAnsi="Verdana"/>
          <w:sz w:val="20"/>
          <w:szCs w:val="20"/>
        </w:rPr>
        <w:t xml:space="preserve"> Para fins da ordem de classificação, os licitantes ou fornecedores que aceitarem reduzir suas propostas para o preço do adjudicatário antecederão aqueles que mantiverem sua proposta original.</w:t>
      </w:r>
    </w:p>
    <w:p>
      <w:pPr>
        <w:pStyle w:val="Nivel2"/>
        <w:numPr>
          <w:ilvl w:val="0"/>
          <w:numId w:val="0"/>
        </w:numPr>
        <w:spacing w:lineRule="auto" w:line="240" w:before="57" w:after="57"/>
        <w:ind w:hanging="0" w:start="0" w:end="0"/>
        <w:rPr/>
      </w:pPr>
      <w:r>
        <w:rPr>
          <w:rFonts w:cs="Verdana" w:ascii="Verdana" w:hAnsi="Verdana"/>
          <w:b/>
          <w:bCs/>
          <w:sz w:val="20"/>
          <w:szCs w:val="20"/>
        </w:rPr>
        <w:t>5.7</w:t>
      </w:r>
      <w:r>
        <w:rPr>
          <w:rFonts w:cs="Verdana" w:ascii="Verdana" w:hAnsi="Verdana"/>
          <w:sz w:val="20"/>
          <w:szCs w:val="20"/>
        </w:rPr>
        <w:t xml:space="preserve"> A habilitação dos licitantes que comporão o cadastro de reserva a que se refere o item 5.4.2.2 somente será efetuada quando houver necessidade de contratação dos licitantes remanescentes, nas seguintes hipóteses:</w:t>
      </w:r>
      <w:bookmarkStart w:id="1" w:name="habilitacao_reserva"/>
      <w:bookmarkEnd w:id="1"/>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b w:val="false"/>
          <w:bCs w:val="false"/>
          <w:sz w:val="20"/>
          <w:szCs w:val="20"/>
        </w:rPr>
        <w:t>5.7.1</w:t>
      </w:r>
      <w:r>
        <w:rPr>
          <w:rFonts w:cs="Verdana" w:ascii="Verdana" w:hAnsi="Verdana"/>
          <w:sz w:val="20"/>
          <w:szCs w:val="20"/>
        </w:rPr>
        <w:t xml:space="preserve"> Quando o licitante vencedor não assinar a ata de registro de preços, no prazo e nas condições estabelecidos no edital;</w:t>
      </w:r>
      <w:r>
        <w:rPr>
          <w:rFonts w:cs="Verdana" w:ascii="Verdana" w:hAnsi="Verdana"/>
          <w:color w:val="FF0000"/>
          <w:sz w:val="20"/>
          <w:szCs w:val="20"/>
        </w:rPr>
        <w:t xml:space="preserve"> </w:t>
      </w:r>
      <w:r>
        <w:rPr>
          <w:rFonts w:cs="Verdana" w:ascii="Verdana" w:hAnsi="Verdana"/>
          <w:sz w:val="20"/>
          <w:szCs w:val="20"/>
        </w:rPr>
        <w:t>e</w:t>
      </w:r>
    </w:p>
    <w:p>
      <w:pPr>
        <w:pStyle w:val="Nvel3"/>
        <w:numPr>
          <w:ilvl w:val="0"/>
          <w:numId w:val="0"/>
        </w:numPr>
        <w:tabs>
          <w:tab w:val="clear" w:pos="708"/>
          <w:tab w:val="left" w:pos="795" w:leader="none"/>
          <w:tab w:val="left" w:pos="1092" w:leader="none"/>
        </w:tabs>
        <w:spacing w:lineRule="auto" w:line="240" w:before="57" w:after="57"/>
        <w:ind w:hanging="0" w:start="0" w:end="0"/>
        <w:rPr/>
      </w:pPr>
      <w:r>
        <w:rPr>
          <w:rFonts w:cs="Verdana" w:ascii="Verdana" w:hAnsi="Verdana"/>
          <w:sz w:val="20"/>
          <w:szCs w:val="20"/>
        </w:rPr>
        <w:t>5.7.2 Quando houver o cancelamento do registro do licitante ou do registro de preços nas hipóteses previstas na Cláusula 14 desta ata de registro de preços.</w:t>
      </w:r>
    </w:p>
    <w:p>
      <w:pPr>
        <w:pStyle w:val="Nivel2"/>
        <w:numPr>
          <w:ilvl w:val="0"/>
          <w:numId w:val="0"/>
        </w:numPr>
        <w:spacing w:lineRule="auto" w:line="240" w:before="57" w:after="57"/>
        <w:ind w:hanging="0" w:start="0" w:end="0"/>
        <w:rPr/>
      </w:pPr>
      <w:r>
        <w:rPr>
          <w:rFonts w:cs="Verdana" w:ascii="Verdana" w:hAnsi="Verdana"/>
          <w:b/>
          <w:bCs/>
          <w:sz w:val="20"/>
          <w:szCs w:val="20"/>
        </w:rPr>
        <w:t>5.8</w:t>
      </w:r>
      <w:r>
        <w:rPr>
          <w:rFonts w:cs="Verdana" w:ascii="Verdana" w:hAnsi="Verdana"/>
          <w:sz w:val="20"/>
          <w:szCs w:val="20"/>
        </w:rPr>
        <w:t xml:space="preserve"> O preço registrado com indicação dos licitantes e fornecedores será divulgado no PNCP e ficará disponibilizado durante a vigência da ata de registro de preços.</w:t>
      </w:r>
    </w:p>
    <w:p>
      <w:pPr>
        <w:pStyle w:val="Nivel2"/>
        <w:numPr>
          <w:ilvl w:val="0"/>
          <w:numId w:val="0"/>
        </w:numPr>
        <w:spacing w:lineRule="auto" w:line="240" w:before="57" w:after="57"/>
        <w:ind w:hanging="0" w:start="0" w:end="0"/>
        <w:rPr/>
      </w:pPr>
      <w:r>
        <w:rPr>
          <w:rFonts w:cs="Verdana" w:ascii="Verdana" w:hAnsi="Verdana"/>
          <w:b/>
          <w:bCs/>
          <w:sz w:val="20"/>
          <w:szCs w:val="20"/>
        </w:rPr>
        <w:t>5.9</w:t>
      </w:r>
      <w:r>
        <w:rPr>
          <w:rFonts w:cs="Verdana" w:ascii="Verdana" w:hAnsi="Verdana"/>
          <w:sz w:val="20"/>
          <w:szCs w:val="2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sz w:val="20"/>
          <w:szCs w:val="20"/>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0"/>
          <w:numId w:val="0"/>
        </w:numPr>
        <w:spacing w:lineRule="auto" w:line="240" w:before="57" w:after="57"/>
        <w:ind w:hanging="0" w:start="0" w:end="0"/>
        <w:rPr/>
      </w:pPr>
      <w:r>
        <w:rPr>
          <w:rFonts w:cs="Verdana" w:ascii="Verdana" w:hAnsi="Verdana"/>
          <w:b/>
          <w:bCs/>
          <w:sz w:val="20"/>
          <w:szCs w:val="20"/>
        </w:rPr>
        <w:t>5.10</w:t>
      </w:r>
      <w:r>
        <w:rPr>
          <w:rFonts w:cs="Verdana" w:ascii="Verdana" w:hAnsi="Verdana"/>
          <w:sz w:val="20"/>
          <w:szCs w:val="20"/>
        </w:rPr>
        <w:t xml:space="preserve"> A ata de registro de preços será assinada por meio de assinatura digital e disponibilizada no Sistema de Registro de Preços.</w:t>
      </w:r>
    </w:p>
    <w:p>
      <w:pPr>
        <w:pStyle w:val="Nivel2"/>
        <w:numPr>
          <w:ilvl w:val="0"/>
          <w:numId w:val="0"/>
        </w:numPr>
        <w:spacing w:lineRule="auto" w:line="240" w:before="57" w:after="57"/>
        <w:ind w:hanging="0" w:start="0" w:end="0"/>
        <w:rPr/>
      </w:pPr>
      <w:r>
        <w:rPr>
          <w:rFonts w:cs="Verdana" w:ascii="Verdana" w:hAnsi="Verdana"/>
          <w:b/>
          <w:bCs/>
          <w:sz w:val="20"/>
          <w:szCs w:val="20"/>
        </w:rPr>
        <w:t>5.11</w:t>
      </w:r>
      <w:r>
        <w:rPr>
          <w:rFonts w:cs="Verdana" w:ascii="Verdana" w:hAnsi="Verdana"/>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Nivel2"/>
        <w:numPr>
          <w:ilvl w:val="0"/>
          <w:numId w:val="0"/>
        </w:numPr>
        <w:spacing w:lineRule="auto" w:line="240" w:before="57" w:after="57"/>
        <w:ind w:hanging="0" w:start="0" w:end="0"/>
        <w:rPr/>
      </w:pPr>
      <w:r>
        <w:rPr>
          <w:rFonts w:cs="Verdana" w:ascii="Verdana" w:hAnsi="Verdana"/>
          <w:b/>
          <w:bCs/>
          <w:sz w:val="20"/>
          <w:szCs w:val="20"/>
        </w:rPr>
        <w:t>5.12</w:t>
      </w:r>
      <w:r>
        <w:rPr>
          <w:rFonts w:cs="Verdana" w:ascii="Verdana" w:hAnsi="Verdana"/>
          <w:sz w:val="20"/>
          <w:szCs w:val="20"/>
        </w:rPr>
        <w:t xml:space="preserve"> Na hipótese de nenhum dos licitantes que trata o item 2.4.2.1, aceitar a contratação nos termos do item anterior, a Administração, observados o valor es</w:t>
      </w:r>
      <w:r>
        <w:rPr>
          <w:rFonts w:eastAsia="Arial" w:cs="Verdana" w:ascii="Verdana" w:hAnsi="Verdana"/>
          <w:sz w:val="20"/>
          <w:szCs w:val="20"/>
        </w:rPr>
        <w:t>ti</w:t>
      </w:r>
      <w:r>
        <w:rPr>
          <w:rFonts w:cs="Verdana" w:ascii="Verdana" w:hAnsi="Verdana"/>
          <w:sz w:val="20"/>
          <w:szCs w:val="20"/>
        </w:rPr>
        <w:t>mado e sua eventual atualização nos termos do edital ou do aviso de contratação direta, poderá:</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sz w:val="20"/>
          <w:szCs w:val="20"/>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0"/>
        </w:numPr>
        <w:tabs>
          <w:tab w:val="clear" w:pos="708"/>
          <w:tab w:val="left" w:pos="735" w:leader="none"/>
        </w:tabs>
        <w:spacing w:lineRule="auto" w:line="240" w:before="57" w:after="57"/>
        <w:ind w:hanging="0" w:start="0" w:end="0"/>
        <w:rPr/>
      </w:pPr>
      <w:r>
        <w:rPr>
          <w:rFonts w:cs="Verdana" w:ascii="Verdana" w:hAnsi="Verdana"/>
          <w:sz w:val="20"/>
          <w:szCs w:val="20"/>
        </w:rPr>
        <w:t>5.12.2 Adjudicar e firmar o contrato nas condições ofertadas pelos licitantes ou fornecedores remanescentes, atendida a ordem classificatória, quando frustrada a negociação de melhor condição.</w:t>
      </w:r>
    </w:p>
    <w:p>
      <w:pPr>
        <w:pStyle w:val="Normal"/>
        <w:spacing w:lineRule="auto" w:line="240" w:before="57" w:after="57"/>
        <w:ind w:hanging="0" w:start="0" w:end="0"/>
        <w:jc w:val="both"/>
        <w:rPr/>
      </w:pPr>
      <w:r>
        <w:rPr>
          <w:rFonts w:cs="Verdana" w:ascii="Verdana" w:hAnsi="Verdana"/>
          <w:b/>
          <w:bCs/>
          <w:sz w:val="20"/>
          <w:szCs w:val="20"/>
        </w:rPr>
        <w:t xml:space="preserve">5.13 </w:t>
      </w:r>
      <w:r>
        <w:rPr>
          <w:rFonts w:cs="Verdana" w:ascii="Verdana" w:hAnsi="Verdana"/>
          <w:sz w:val="20"/>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pPr>
      <w:r>
        <w:rPr>
          <w:rFonts w:cs="Verdana" w:ascii="Verdana" w:hAnsi="Verdana"/>
          <w:b/>
          <w:sz w:val="20"/>
          <w:szCs w:val="20"/>
          <w:u w:val="single"/>
        </w:rPr>
        <w:t>CLÁUSULA SEXTA – DA ALTERAÇÃO OU ATUALIZAÇÃO DOS PREÇOS REGISTRADOS</w:t>
      </w:r>
    </w:p>
    <w:p>
      <w:pPr>
        <w:pStyle w:val="Normal"/>
        <w:spacing w:lineRule="auto" w:line="240" w:before="57" w:after="57"/>
        <w:ind w:hanging="0" w:start="0" w:end="0"/>
        <w:jc w:val="both"/>
        <w:rPr/>
      </w:pPr>
      <w:r>
        <w:rPr>
          <w:rFonts w:cs="Verdana" w:ascii="Verdana" w:hAnsi="Verdana"/>
          <w:b/>
          <w:sz w:val="20"/>
          <w:szCs w:val="20"/>
        </w:rPr>
        <w:t xml:space="preserve">6.1 </w:t>
      </w:r>
      <w:r>
        <w:rPr>
          <w:rFonts w:cs="Verdana" w:ascii="Verdana" w:hAnsi="Verdana"/>
          <w:sz w:val="20"/>
          <w:szCs w:val="20"/>
        </w:rPr>
        <w:t>O preço registrado e as especificações encontram-se a seguir discriminados:</w:t>
      </w:r>
    </w:p>
    <w:p>
      <w:pPr>
        <w:pStyle w:val="Normal"/>
        <w:spacing w:lineRule="auto" w:line="240" w:before="57" w:after="57"/>
        <w:ind w:hanging="0" w:start="0" w:end="0"/>
        <w:jc w:val="both"/>
        <w:rPr/>
      </w:pPr>
      <w:r>
        <w:rPr>
          <w:rFonts w:cs="Verdana" w:ascii="Verdana" w:hAnsi="Verdana"/>
          <w:b/>
          <w:sz w:val="20"/>
          <w:szCs w:val="20"/>
        </w:rPr>
        <w:t>6.2</w:t>
      </w:r>
      <w:r>
        <w:rPr>
          <w:rFonts w:cs="Verdana" w:ascii="Verdana" w:hAnsi="Verdana"/>
          <w:sz w:val="20"/>
          <w:szCs w:val="20"/>
        </w:rPr>
        <w:t xml:space="preserve"> O preço e o fornecedor ora registrados decorrem da classificação do </w:t>
      </w:r>
      <w:r>
        <w:rPr>
          <w:rFonts w:cs="Verdana" w:ascii="Verdana" w:hAnsi="Verdana"/>
          <w:b/>
          <w:color w:val="FF0000"/>
          <w:sz w:val="20"/>
          <w:szCs w:val="20"/>
          <w:u w:val="single"/>
        </w:rPr>
        <w:t>Pregão Eletrônico nº 06</w:t>
      </w:r>
      <w:r>
        <w:rPr>
          <w:rFonts w:cs="Verdana" w:ascii="Verdana" w:hAnsi="Verdana"/>
          <w:b/>
          <w:color w:val="FF0000"/>
          <w:sz w:val="20"/>
          <w:szCs w:val="20"/>
          <w:u w:val="single"/>
        </w:rPr>
        <w:t>9</w:t>
      </w:r>
      <w:r>
        <w:rPr>
          <w:rFonts w:cs="Verdana" w:ascii="Verdana" w:hAnsi="Verdana"/>
          <w:b/>
          <w:color w:val="FF0000"/>
          <w:sz w:val="20"/>
          <w:szCs w:val="20"/>
          <w:u w:val="single"/>
        </w:rPr>
        <w:t>/2025</w:t>
      </w:r>
      <w:r>
        <w:rPr>
          <w:rFonts w:cs="Verdana" w:ascii="Verdana" w:hAnsi="Verdana"/>
          <w:sz w:val="20"/>
          <w:szCs w:val="20"/>
        </w:rPr>
        <w:t>, processado nos moldes do ato convocatório, ao qual se vincula à presente ata de registro de preços para todos os efeitos.</w:t>
      </w:r>
    </w:p>
    <w:p>
      <w:pPr>
        <w:pStyle w:val="Normal"/>
        <w:spacing w:lineRule="auto" w:line="240" w:before="57" w:after="57"/>
        <w:ind w:hanging="0" w:start="0" w:end="0"/>
        <w:jc w:val="both"/>
        <w:rPr/>
      </w:pPr>
      <w:r>
        <w:rPr>
          <w:rFonts w:cs="Verdana" w:ascii="Verdana" w:hAnsi="Verdana"/>
          <w:b/>
          <w:sz w:val="20"/>
          <w:szCs w:val="20"/>
        </w:rPr>
        <w:t>6.3</w:t>
      </w:r>
      <w:r>
        <w:rPr>
          <w:rFonts w:cs="Verdana" w:ascii="Verdana" w:hAnsi="Verdana"/>
          <w:sz w:val="20"/>
          <w:szCs w:val="20"/>
        </w:rPr>
        <w:t xml:space="preserve"> O preço registrado já inclui todas as despesas necessárias ao fornecimento do objeto desta ata, sem quaisquer ônus para a Prefeitura Municipal de São Gabriel da Palha – ES no que se refere a fretes, tributos e outros.</w:t>
      </w:r>
    </w:p>
    <w:p>
      <w:pPr>
        <w:pStyle w:val="Normal"/>
        <w:suppressAutoHyphens w:val="false"/>
        <w:spacing w:lineRule="auto" w:line="240" w:before="57" w:after="57"/>
        <w:ind w:hanging="0" w:start="0" w:end="0"/>
        <w:jc w:val="both"/>
        <w:rPr/>
      </w:pPr>
      <w:r>
        <w:rPr>
          <w:rFonts w:cs="Verdana" w:ascii="Verdana" w:hAnsi="Verdana"/>
          <w:b/>
          <w:bCs/>
          <w:sz w:val="20"/>
          <w:szCs w:val="20"/>
        </w:rPr>
        <w:t xml:space="preserve">6.4 </w:t>
      </w:r>
      <w:r>
        <w:rPr>
          <w:rFonts w:cs="Verdana" w:ascii="Verdana" w:hAnsi="Verdana"/>
          <w:sz w:val="20"/>
          <w:szCs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Lei Federal nº 14.133, de 2021 e no Decreto Municipal 3609/2023.</w:t>
      </w:r>
    </w:p>
    <w:p>
      <w:pPr>
        <w:pStyle w:val="Normal"/>
        <w:suppressAutoHyphens w:val="false"/>
        <w:spacing w:lineRule="auto" w:line="240" w:before="57" w:after="57"/>
        <w:ind w:hanging="0" w:start="0" w:end="0"/>
        <w:jc w:val="both"/>
        <w:rPr/>
      </w:pPr>
      <w:r>
        <w:rPr>
          <w:rFonts w:cs="Verdana" w:ascii="Verdana" w:hAnsi="Verdana"/>
          <w:sz w:val="20"/>
          <w:szCs w:val="20"/>
        </w:rPr>
        <w:t xml:space="preserve">6.4.1 Em caso de força maior, caso fortuito ou fato do príncipe ou em decorrência de fatos imprevisíveis ou previsíveis de consequências incalculáveis, que inviabilizem a execução da ata tal como pactuada, nos termos da alínea “d” do inciso II do caput do art. 124 da </w:t>
      </w:r>
      <w:bookmarkStart w:id="3" w:name="_Hlk143593028"/>
      <w:r>
        <w:rPr>
          <w:rFonts w:cs="Verdana" w:ascii="Verdana" w:hAnsi="Verdana"/>
          <w:sz w:val="20"/>
          <w:szCs w:val="20"/>
        </w:rPr>
        <w:t>Lei nº 14.133, de 2021</w:t>
      </w:r>
      <w:bookmarkEnd w:id="3"/>
      <w:r>
        <w:rPr>
          <w:rFonts w:cs="Verdana" w:ascii="Verdana" w:hAnsi="Verdana"/>
          <w:sz w:val="20"/>
          <w:szCs w:val="20"/>
        </w:rPr>
        <w:t>;</w:t>
      </w:r>
    </w:p>
    <w:p>
      <w:pPr>
        <w:pStyle w:val="Normal"/>
        <w:suppressAutoHyphens w:val="false"/>
        <w:spacing w:lineRule="auto" w:line="240" w:before="57" w:after="57"/>
        <w:ind w:hanging="0" w:start="0" w:end="0"/>
        <w:jc w:val="both"/>
        <w:rPr/>
      </w:pPr>
      <w:r>
        <w:rPr>
          <w:rFonts w:cs="Verdana" w:ascii="Verdana" w:hAnsi="Verdana"/>
          <w:sz w:val="20"/>
          <w:szCs w:val="20"/>
          <w:lang w:eastAsia="pt-BR"/>
        </w:rPr>
        <w:t xml:space="preserve">6.4.2 </w:t>
      </w:r>
      <w:r>
        <w:rPr>
          <w:rFonts w:cs="Verdana" w:ascii="Verdana" w:hAnsi="Verdana"/>
          <w:sz w:val="20"/>
          <w:szCs w:val="20"/>
        </w:rPr>
        <w:t>Em caso de criação, alteração ou ex</w:t>
      </w:r>
      <w:r>
        <w:rPr>
          <w:rFonts w:eastAsia="Calibri" w:cs="Verdana" w:ascii="Verdana" w:hAnsi="Verdana"/>
          <w:sz w:val="20"/>
          <w:szCs w:val="20"/>
        </w:rPr>
        <w:t>ti</w:t>
      </w:r>
      <w:r>
        <w:rPr>
          <w:rFonts w:cs="Verdana" w:ascii="Verdana" w:hAnsi="Verdana"/>
          <w:sz w:val="20"/>
          <w:szCs w:val="20"/>
        </w:rPr>
        <w:t>nção de quaisquer tributos ou encargos legais ou a superveniência de disposições legais, com comprovada repercussão sobre os preços registrados;</w:t>
      </w:r>
    </w:p>
    <w:p>
      <w:pPr>
        <w:pStyle w:val="Nvel3-R"/>
        <w:numPr>
          <w:ilvl w:val="0"/>
          <w:numId w:val="0"/>
        </w:numPr>
        <w:tabs>
          <w:tab w:val="clear" w:pos="708"/>
          <w:tab w:val="left" w:pos="510" w:leader="none"/>
        </w:tabs>
        <w:spacing w:lineRule="auto" w:line="240" w:before="57" w:after="57"/>
        <w:ind w:hanging="0" w:start="0" w:end="0"/>
        <w:rPr/>
      </w:pPr>
      <w:r>
        <w:rPr>
          <w:rFonts w:cs="Verdana" w:ascii="Verdana" w:hAnsi="Verdana"/>
          <w:i w:val="false"/>
          <w:iCs w:val="false"/>
          <w:color w:val="000000"/>
          <w:sz w:val="20"/>
          <w:szCs w:val="20"/>
        </w:rPr>
        <w:t>6.4.3</w:t>
      </w:r>
      <w:r>
        <w:rPr>
          <w:rFonts w:cs="Verdana" w:ascii="Verdana" w:hAnsi="Verdana"/>
          <w:b/>
          <w:bCs/>
          <w:i w:val="false"/>
          <w:iCs w:val="false"/>
          <w:color w:val="000000"/>
          <w:sz w:val="20"/>
          <w:szCs w:val="20"/>
        </w:rPr>
        <w:t xml:space="preserve"> </w:t>
      </w:r>
      <w:r>
        <w:rPr>
          <w:rFonts w:cs="Verdana" w:ascii="Verdana" w:hAnsi="Verdana"/>
          <w:i w:val="false"/>
          <w:iCs w:val="false"/>
          <w:color w:val="000000"/>
          <w:sz w:val="20"/>
          <w:szCs w:val="20"/>
        </w:rPr>
        <w:t>Na hipótese de previsão no edital ou no aviso de contratação direta de cláusula de reajustamento ou repactuação sobre os preços registrados, nos termos da Lei nº 14.133, de 2021.</w:t>
      </w:r>
    </w:p>
    <w:p>
      <w:pPr>
        <w:pStyle w:val="Nvel4"/>
        <w:numPr>
          <w:ilvl w:val="0"/>
          <w:numId w:val="0"/>
        </w:numPr>
        <w:tabs>
          <w:tab w:val="clear" w:pos="708"/>
          <w:tab w:val="left" w:pos="567" w:leader="none"/>
          <w:tab w:val="left" w:pos="1185" w:leader="none"/>
        </w:tabs>
        <w:spacing w:lineRule="auto" w:line="240" w:before="57" w:after="57"/>
        <w:ind w:hanging="0" w:start="0" w:end="0"/>
        <w:rPr/>
      </w:pPr>
      <w:r>
        <w:rPr>
          <w:rFonts w:cs="Verdana" w:ascii="Verdana" w:hAnsi="Verdana"/>
          <w:sz w:val="20"/>
          <w:szCs w:val="20"/>
        </w:rPr>
        <w:t>6.4.3.1 No caso do reajustamento, deverá ser respeitada a contagem da anualidade e o índice previstos para a contratação;</w:t>
      </w:r>
    </w:p>
    <w:p>
      <w:pPr>
        <w:pStyle w:val="Nvel4"/>
        <w:numPr>
          <w:ilvl w:val="0"/>
          <w:numId w:val="0"/>
        </w:numPr>
        <w:tabs>
          <w:tab w:val="clear" w:pos="708"/>
          <w:tab w:val="left" w:pos="567" w:leader="none"/>
          <w:tab w:val="left" w:pos="1185" w:leader="none"/>
        </w:tabs>
        <w:spacing w:lineRule="auto" w:line="240" w:before="57" w:after="57"/>
        <w:ind w:hanging="0" w:start="0" w:end="0"/>
        <w:rPr/>
      </w:pPr>
      <w:r>
        <w:rPr>
          <w:rFonts w:cs="Verdana" w:ascii="Verdana" w:hAnsi="Verdana"/>
          <w:sz w:val="20"/>
          <w:szCs w:val="20"/>
        </w:rPr>
        <w:t>6.4.3.2 No caso da repactuação, poderá ser a pedido do interessado, conforme critérios definidos para a contratação.</w:t>
      </w:r>
    </w:p>
    <w:p>
      <w:pPr>
        <w:pStyle w:val="Normal"/>
        <w:suppressAutoHyphens w:val="false"/>
        <w:spacing w:lineRule="auto" w:line="240" w:before="57" w:after="57"/>
        <w:ind w:hanging="0" w:start="0" w:end="0"/>
        <w:jc w:val="both"/>
        <w:rPr>
          <w:rFonts w:ascii="Verdana" w:hAnsi="Verdana" w:cs="Verdana"/>
          <w:sz w:val="20"/>
          <w:szCs w:val="20"/>
          <w:lang w:eastAsia="pt-BR"/>
        </w:rPr>
      </w:pPr>
      <w:r>
        <w:rPr>
          <w:rFonts w:cs="Verdana" w:ascii="Verdana" w:hAnsi="Verdana"/>
          <w:sz w:val="20"/>
          <w:szCs w:val="20"/>
          <w:lang w:eastAsia="pt-BR"/>
        </w:rPr>
      </w:r>
    </w:p>
    <w:p>
      <w:pPr>
        <w:pStyle w:val="Normal"/>
        <w:suppressAutoHyphens w:val="false"/>
        <w:spacing w:lineRule="auto" w:line="240" w:before="57" w:after="57"/>
        <w:ind w:hanging="0" w:start="0" w:end="0"/>
        <w:jc w:val="both"/>
        <w:rPr/>
      </w:pPr>
      <w:r>
        <w:rPr>
          <w:rFonts w:cs="Verdana" w:ascii="Verdana" w:hAnsi="Verdana"/>
          <w:b/>
          <w:sz w:val="20"/>
          <w:szCs w:val="20"/>
          <w:u w:val="single"/>
        </w:rPr>
        <w:t>CLÁUSULA</w:t>
      </w:r>
      <w:r>
        <w:rPr>
          <w:rFonts w:eastAsia="Batang;바탕" w:cs="Verdana" w:ascii="Verdana" w:hAnsi="Verdana"/>
          <w:b/>
          <w:sz w:val="20"/>
          <w:szCs w:val="20"/>
          <w:u w:val="single"/>
        </w:rPr>
        <w:t xml:space="preserve"> SÉTIMA – DA </w:t>
      </w:r>
      <w:r>
        <w:rPr>
          <w:rFonts w:cs="Verdana" w:ascii="Verdana" w:hAnsi="Verdana"/>
          <w:b/>
          <w:sz w:val="20"/>
          <w:szCs w:val="20"/>
          <w:u w:val="single"/>
        </w:rPr>
        <w:t>NEGOCIAÇÃO DE PREÇOS REGISTRADOS</w:t>
      </w:r>
    </w:p>
    <w:p>
      <w:pPr>
        <w:pStyle w:val="Normal"/>
        <w:spacing w:lineRule="auto" w:line="240" w:before="57" w:after="57"/>
        <w:ind w:hanging="0" w:start="0" w:end="0"/>
        <w:jc w:val="both"/>
        <w:rPr/>
      </w:pPr>
      <w:r>
        <w:rPr>
          <w:rFonts w:cs="Verdana" w:ascii="Verdana" w:hAnsi="Verdana"/>
          <w:b/>
          <w:bCs/>
          <w:sz w:val="20"/>
          <w:szCs w:val="20"/>
        </w:rPr>
        <w:t xml:space="preserve">7.1 – </w:t>
      </w:r>
      <w:r>
        <w:rPr>
          <w:rFonts w:cs="Verdana" w:ascii="Verdana" w:hAnsi="Verdana"/>
          <w:sz w:val="20"/>
          <w:szCs w:val="20"/>
        </w:rPr>
        <w:t>Quando o preço registrado se tornar superior ao preço praticado no mercado por motivo superveniente, o Órgão Gerenciador convocará os fornecedores para negociarem a redução dos preços aos valores praticados pelo mercado.</w:t>
      </w:r>
    </w:p>
    <w:p>
      <w:pPr>
        <w:pStyle w:val="Nvel3-R"/>
        <w:numPr>
          <w:ilvl w:val="0"/>
          <w:numId w:val="0"/>
        </w:numPr>
        <w:tabs>
          <w:tab w:val="clear" w:pos="708"/>
          <w:tab w:val="left" w:pos="1260" w:leader="none"/>
        </w:tabs>
        <w:spacing w:lineRule="auto" w:line="240" w:before="57" w:after="57"/>
        <w:ind w:hanging="0" w:start="0" w:end="0"/>
        <w:rPr/>
      </w:pPr>
      <w:r>
        <w:rPr>
          <w:rFonts w:cs="Verdana" w:ascii="Verdana" w:hAnsi="Verdana"/>
          <w:i w:val="false"/>
          <w:iCs w:val="false"/>
          <w:color w:val="000000"/>
          <w:sz w:val="20"/>
          <w:szCs w:val="20"/>
        </w:rPr>
        <w:t>7.1.1 Caso não aceite reduzir seu preço aos valores pra</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cados pelo mercado, o fornecedor será liberado do compromisso assumido quanto ao item registrado, sem aplicação de penalidades administrativas.</w:t>
      </w:r>
      <w:bookmarkStart w:id="4" w:name="_Hlk143593661"/>
    </w:p>
    <w:p>
      <w:pPr>
        <w:pStyle w:val="Nvel3-R"/>
        <w:numPr>
          <w:ilvl w:val="0"/>
          <w:numId w:val="0"/>
        </w:numPr>
        <w:tabs>
          <w:tab w:val="clear" w:pos="708"/>
          <w:tab w:val="left" w:pos="1260" w:leader="none"/>
        </w:tabs>
        <w:spacing w:lineRule="auto" w:line="240" w:before="57" w:after="57"/>
        <w:ind w:hanging="0" w:start="0" w:end="0"/>
        <w:rPr/>
      </w:pPr>
      <w:r>
        <w:rPr>
          <w:rFonts w:cs="Verdana" w:ascii="Verdana" w:hAnsi="Verdana"/>
          <w:i w:val="false"/>
          <w:iCs w:val="false"/>
          <w:color w:val="000000"/>
          <w:sz w:val="20"/>
          <w:szCs w:val="20"/>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4"/>
      <w:r>
        <w:rPr>
          <w:rFonts w:cs="Verdana" w:ascii="Verdana" w:hAnsi="Verdana"/>
          <w:i w:val="false"/>
          <w:iCs w:val="false"/>
          <w:color w:val="000000"/>
          <w:sz w:val="20"/>
          <w:szCs w:val="20"/>
        </w:rPr>
        <w:t xml:space="preserve"> </w:t>
      </w:r>
    </w:p>
    <w:p>
      <w:pPr>
        <w:pStyle w:val="Nvel3-R"/>
        <w:numPr>
          <w:ilvl w:val="0"/>
          <w:numId w:val="0"/>
        </w:numPr>
        <w:tabs>
          <w:tab w:val="clear" w:pos="708"/>
          <w:tab w:val="left" w:pos="1305" w:leader="none"/>
        </w:tabs>
        <w:spacing w:lineRule="auto" w:line="240" w:before="57" w:after="57"/>
        <w:ind w:hanging="0" w:start="0" w:end="0"/>
        <w:rPr/>
      </w:pPr>
      <w:r>
        <w:rPr>
          <w:rFonts w:cs="Verdana" w:ascii="Verdana" w:hAnsi="Verdana"/>
          <w:i w:val="false"/>
          <w:iCs w:val="false"/>
          <w:color w:val="000000"/>
          <w:sz w:val="20"/>
          <w:szCs w:val="20"/>
        </w:rPr>
        <w:t>7.1.3 Se não obtiver êxito nas negociações, o órgão ou en</w:t>
      </w:r>
      <w:r>
        <w:rPr>
          <w:rFonts w:eastAsia="Calibri" w:cs="Verdana" w:ascii="Verdana" w:hAnsi="Verdana"/>
          <w:i w:val="false"/>
          <w:iCs w:val="false"/>
          <w:color w:val="000000"/>
          <w:sz w:val="20"/>
          <w:szCs w:val="20"/>
        </w:rPr>
        <w:t>tid</w:t>
      </w:r>
      <w:r>
        <w:rPr>
          <w:rFonts w:cs="Verdana" w:ascii="Verdana" w:hAnsi="Verdana"/>
          <w:i w:val="false"/>
          <w:iCs w:val="false"/>
          <w:color w:val="000000"/>
          <w:sz w:val="20"/>
          <w:szCs w:val="20"/>
        </w:rPr>
        <w:t>ade gerenciadora procederá ao cancelamento da ata de registro de preços, adotando as medidas cabíveis para obtenção de contratação mais vantajosa</w:t>
      </w:r>
      <w:bookmarkStart w:id="5" w:name="reducao_preco_mercado_negociacao_frustra"/>
      <w:bookmarkEnd w:id="5"/>
      <w:r>
        <w:rPr>
          <w:rFonts w:cs="Verdana" w:ascii="Verdana" w:hAnsi="Verdana"/>
          <w:i w:val="false"/>
          <w:iCs w:val="false"/>
          <w:color w:val="000000"/>
          <w:sz w:val="20"/>
          <w:szCs w:val="20"/>
        </w:rPr>
        <w:t>.</w:t>
      </w:r>
    </w:p>
    <w:p>
      <w:pPr>
        <w:pStyle w:val="Nvel3-R"/>
        <w:numPr>
          <w:ilvl w:val="0"/>
          <w:numId w:val="0"/>
        </w:numPr>
        <w:tabs>
          <w:tab w:val="clear" w:pos="708"/>
          <w:tab w:val="left" w:pos="1305" w:leader="none"/>
        </w:tabs>
        <w:spacing w:lineRule="auto" w:line="240" w:before="57" w:after="57"/>
        <w:ind w:hanging="0" w:start="0" w:end="0"/>
        <w:rPr/>
      </w:pPr>
      <w:r>
        <w:rPr>
          <w:rFonts w:cs="Verdana" w:ascii="Verdana" w:hAnsi="Verdana"/>
          <w:i w:val="false"/>
          <w:iCs w:val="false"/>
          <w:color w:val="000000"/>
          <w:sz w:val="20"/>
          <w:szCs w:val="20"/>
        </w:rPr>
        <w:t>7.1.4 Na hipótese de redução do preço registrado, o gerenciador comunicará aos órgãos e às en</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 xml:space="preserve">dades que </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 xml:space="preserve">verem firmado contratos decorrentes da ata de registro de preços para que avaliem a conveniência e a oportunidade de diligenciarem negociação com vistas à alteração contratual, observado o disposto no art. 124 da Lei nº 14.133, de 2021. </w:t>
      </w:r>
    </w:p>
    <w:p>
      <w:pPr>
        <w:pStyle w:val="Nivel2"/>
        <w:numPr>
          <w:ilvl w:val="0"/>
          <w:numId w:val="0"/>
        </w:numPr>
        <w:spacing w:lineRule="auto" w:line="240" w:before="57" w:after="57"/>
        <w:ind w:hanging="0" w:start="0" w:end="0"/>
        <w:rPr/>
      </w:pPr>
      <w:r>
        <w:rPr>
          <w:rFonts w:cs="Verdana" w:ascii="Verdana" w:hAnsi="Verdana"/>
          <w:b/>
          <w:bCs/>
          <w:sz w:val="20"/>
          <w:szCs w:val="20"/>
        </w:rPr>
        <w:t>7.2</w:t>
      </w:r>
      <w:r>
        <w:rPr>
          <w:rFonts w:cs="Verdana" w:ascii="Verdana" w:hAnsi="Verdana"/>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hanging="510" w:start="51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1"/>
          <w:numId w:val="3"/>
        </w:numPr>
        <w:suppressAutoHyphens w:val="false"/>
        <w:spacing w:lineRule="auto" w:line="276" w:before="120" w:after="120"/>
        <w:ind w:hanging="720" w:start="720" w:end="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Nvel3"/>
        <w:widowControl/>
        <w:numPr>
          <w:ilvl w:val="0"/>
          <w:numId w:val="0"/>
        </w:numPr>
        <w:suppressAutoHyphens w:val="false"/>
        <w:bidi w:val="0"/>
        <w:spacing w:lineRule="auto" w:line="240" w:before="57" w:after="57"/>
        <w:ind w:hanging="0" w:start="0" w:end="0"/>
        <w:jc w:val="both"/>
        <w:rPr/>
      </w:pPr>
      <w:r>
        <w:rPr>
          <w:rFonts w:cs="Verdana" w:ascii="Verdana" w:hAnsi="Verdana"/>
          <w:sz w:val="20"/>
          <w:szCs w:val="20"/>
        </w:rPr>
        <w:t xml:space="preserve">7.2.1 Neste caso, o fornecedor encaminhará, juntamente com o pedido de </w:t>
      </w:r>
      <w:r>
        <w:rPr>
          <w:rFonts w:eastAsia="Times New Roman" w:cs="Verdana" w:ascii="Verdana" w:hAnsi="Verdana"/>
          <w:i w:val="false"/>
          <w:iCs w:val="false"/>
          <w:color w:val="000000"/>
          <w:sz w:val="20"/>
          <w:szCs w:val="20"/>
          <w:lang w:val="pt-BR" w:eastAsia="zh-CN" w:bidi="ar-SA"/>
        </w:rPr>
        <w:t>alteração</w:t>
      </w:r>
      <w:r>
        <w:rPr>
          <w:rFonts w:cs="Verdana" w:ascii="Verdana" w:hAnsi="Verdana"/>
          <w:sz w:val="20"/>
          <w:szCs w:val="20"/>
        </w:rPr>
        <w:t>, a documentação comprobatória ou a planilha de custos que demonstre a inviabilidade do preço registrado em relação às condições inicialmente pactuadas.</w:t>
      </w:r>
      <w:bookmarkStart w:id="7" w:name="prova_preco_mercado_maior"/>
      <w:bookmarkEnd w:id="7"/>
    </w:p>
    <w:p>
      <w:pPr>
        <w:pStyle w:val="Nvel3"/>
        <w:widowControl/>
        <w:numPr>
          <w:ilvl w:val="0"/>
          <w:numId w:val="0"/>
        </w:numPr>
        <w:suppressAutoHyphens w:val="false"/>
        <w:bidi w:val="0"/>
        <w:spacing w:lineRule="auto" w:line="240" w:before="57" w:after="57"/>
        <w:ind w:hanging="0" w:start="0" w:end="0"/>
        <w:jc w:val="both"/>
        <w:rPr/>
      </w:pPr>
      <w:r>
        <w:rPr>
          <w:rFonts w:cs="Verdana" w:ascii="Verdana" w:hAnsi="Verdana"/>
          <w:sz w:val="20"/>
          <w:szCs w:val="20"/>
        </w:rPr>
        <w:t>7.2.2 Na hipótese de não comprovação da existência de fato superveniente que inviabilize o preço registrado, o pedido será indeferido pelo órgão ou en</w:t>
      </w:r>
      <w:r>
        <w:rPr>
          <w:rFonts w:eastAsia="Calibri" w:cs="Verdana" w:ascii="Verdana" w:hAnsi="Verdana"/>
          <w:sz w:val="20"/>
          <w:szCs w:val="20"/>
        </w:rPr>
        <w:t>ti</w:t>
      </w:r>
      <w:r>
        <w:rPr>
          <w:rFonts w:cs="Verdana" w:ascii="Verdana" w:hAnsi="Verdana"/>
          <w:sz w:val="20"/>
          <w:szCs w:val="20"/>
        </w:rPr>
        <w:t>dade gerenciadora e o fornecedor deverá cumprir as obrigações estabelecidas na ata, sob pena de cancelamento do seu registro, nos termos do item 10, sem prejuízo das sanções previstas na Lei nº 14.133, de 2021, e na legislação aplicável.</w:t>
      </w:r>
      <w:bookmarkStart w:id="8" w:name="nao_comprovacao_majoracao_mercado"/>
      <w:bookmarkEnd w:id="8"/>
    </w:p>
    <w:p>
      <w:pPr>
        <w:pStyle w:val="Nvel3"/>
        <w:widowControl/>
        <w:numPr>
          <w:ilvl w:val="0"/>
          <w:numId w:val="0"/>
        </w:numPr>
        <w:suppressAutoHyphens w:val="false"/>
        <w:bidi w:val="0"/>
        <w:spacing w:lineRule="auto" w:line="240" w:before="57" w:after="57"/>
        <w:ind w:hanging="0" w:start="0" w:end="0"/>
        <w:jc w:val="both"/>
        <w:rPr/>
      </w:pPr>
      <w:r>
        <w:rPr>
          <w:rFonts w:cs="Verdana" w:ascii="Verdana" w:hAnsi="Verdana"/>
          <w:sz w:val="20"/>
          <w:szCs w:val="20"/>
        </w:rPr>
        <w:t>7.2.3 Na hipótese de cancelamento do registro do fornecedor, nos termos do item anterior, o gerenciador convocará os fornecedores do cadastro de reserva, na ordem de classificação, para verificar se aceitam manter seus preços registrados, observado o disposto no item 2.7.</w:t>
      </w:r>
    </w:p>
    <w:p>
      <w:pPr>
        <w:pStyle w:val="Nvel3"/>
        <w:widowControl/>
        <w:numPr>
          <w:ilvl w:val="0"/>
          <w:numId w:val="0"/>
        </w:numPr>
        <w:suppressAutoHyphens w:val="false"/>
        <w:bidi w:val="0"/>
        <w:spacing w:lineRule="auto" w:line="240" w:before="57" w:after="57"/>
        <w:ind w:hanging="0" w:start="0" w:end="0"/>
        <w:jc w:val="both"/>
        <w:rPr/>
      </w:pPr>
      <w:r>
        <w:rPr>
          <w:rFonts w:cs="Verdana" w:ascii="Verdana" w:hAnsi="Verdana"/>
          <w:sz w:val="20"/>
          <w:szCs w:val="20"/>
        </w:rPr>
        <w:t>7.2.4 Se não obtiver êxito nas negociações, o órgão ou entidade gerenciadora procederá ao cancelamento da ata de registro de preços, nos termos do item 10.4, e adotará as medidas cabíveis para a obtenção da contratação mais vantajosa.</w:t>
      </w:r>
      <w:bookmarkStart w:id="9" w:name="majora_preco_mercado_negociacao_frustra"/>
      <w:bookmarkEnd w:id="9"/>
    </w:p>
    <w:p>
      <w:pPr>
        <w:pStyle w:val="Nvel3"/>
        <w:widowControl/>
        <w:numPr>
          <w:ilvl w:val="0"/>
          <w:numId w:val="0"/>
        </w:numPr>
        <w:suppressAutoHyphens w:val="false"/>
        <w:bidi w:val="0"/>
        <w:spacing w:lineRule="auto" w:line="240" w:before="57" w:after="57"/>
        <w:ind w:hanging="0" w:start="0" w:end="0"/>
        <w:jc w:val="both"/>
        <w:rPr/>
      </w:pPr>
      <w:r>
        <w:rPr>
          <w:rFonts w:cs="Verdana" w:ascii="Verdana" w:hAnsi="Verdana"/>
          <w:sz w:val="20"/>
          <w:szCs w:val="20"/>
        </w:rPr>
        <w:t>7.2.5 Na hipótese de comprovação da majoração do preço de mercado que inviabilize o preço registrado, conforme previsto no item 4.2 e no item 4.2.1, o órgão ou en</w:t>
      </w:r>
      <w:r>
        <w:rPr>
          <w:rFonts w:eastAsia="Calibri" w:cs="Verdana" w:ascii="Verdana" w:hAnsi="Verdana"/>
          <w:sz w:val="20"/>
          <w:szCs w:val="20"/>
        </w:rPr>
        <w:t>ti</w:t>
      </w:r>
      <w:r>
        <w:rPr>
          <w:rFonts w:cs="Verdana" w:ascii="Verdana" w:hAnsi="Verdana"/>
          <w:sz w:val="20"/>
          <w:szCs w:val="20"/>
        </w:rPr>
        <w:t>dade gerenciadora atualizará o preço registrado, de acordo com a realidade dos valores praticados pelo mercado.</w:t>
      </w:r>
    </w:p>
    <w:p>
      <w:pPr>
        <w:pStyle w:val="Nvel3"/>
        <w:widowControl/>
        <w:numPr>
          <w:ilvl w:val="0"/>
          <w:numId w:val="0"/>
        </w:numPr>
        <w:suppressAutoHyphens w:val="false"/>
        <w:bidi w:val="0"/>
        <w:spacing w:lineRule="auto" w:line="240" w:before="57" w:after="57"/>
        <w:ind w:hanging="0" w:start="0" w:end="0"/>
        <w:jc w:val="both"/>
        <w:rPr>
          <w:rFonts w:ascii="Verdana" w:hAnsi="Verdana"/>
          <w:sz w:val="20"/>
          <w:szCs w:val="20"/>
        </w:rPr>
      </w:pPr>
      <w:r>
        <w:rPr>
          <w:rFonts w:ascii="Verdana" w:hAnsi="Verdana"/>
          <w:sz w:val="20"/>
          <w:szCs w:val="20"/>
        </w:rPr>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40" w:before="57" w:after="57"/>
        <w:ind w:hanging="0" w:start="0" w:end="0"/>
        <w:rPr/>
      </w:pPr>
      <w:r>
        <w:rPr>
          <w:rFonts w:cs="Verdana" w:ascii="Verdana" w:hAnsi="Verdana"/>
          <w:b/>
          <w:sz w:val="20"/>
          <w:szCs w:val="20"/>
          <w:u w:val="single"/>
        </w:rPr>
        <w:t>CLÁUSULA</w:t>
      </w:r>
      <w:r>
        <w:rPr>
          <w:rFonts w:eastAsia="Batang;바탕" w:cs="Verdana" w:ascii="Verdana" w:hAnsi="Verdana"/>
          <w:b/>
          <w:sz w:val="20"/>
          <w:szCs w:val="20"/>
          <w:u w:val="single"/>
        </w:rPr>
        <w:t xml:space="preserve"> OITAVA – </w:t>
      </w:r>
      <w:r>
        <w:rPr>
          <w:rFonts w:eastAsia="Batang;바탕" w:cs="Verdana" w:ascii="Verdana" w:hAnsi="Verdana"/>
          <w:b/>
          <w:bCs/>
          <w:color w:val="000000"/>
          <w:sz w:val="20"/>
          <w:szCs w:val="20"/>
          <w:u w:val="single"/>
        </w:rPr>
        <w:t xml:space="preserve">DO MODELO DE EXECUÇÃO CONTRATUAL, </w:t>
      </w:r>
      <w:r>
        <w:rPr>
          <w:rFonts w:eastAsia="Batang;바탕" w:cs="Verdana" w:ascii="Verdana" w:hAnsi="Verdana"/>
          <w:b/>
          <w:bCs/>
          <w:i w:val="false"/>
          <w:iCs w:val="false"/>
          <w:color w:val="000000"/>
          <w:sz w:val="20"/>
          <w:szCs w:val="20"/>
          <w:u w:val="single"/>
        </w:rPr>
        <w:t>ENTREGA E CRITÉRIOS DE ACEITAÇÃO DO OBJETO</w:t>
      </w:r>
    </w:p>
    <w:p>
      <w:pPr>
        <w:pStyle w:val="Normal"/>
        <w:spacing w:lineRule="auto" w:line="240" w:before="57" w:after="57"/>
        <w:ind w:hanging="0" w:start="0" w:end="0"/>
        <w:jc w:val="both"/>
        <w:rPr/>
      </w:pPr>
      <w:r>
        <w:rPr>
          <w:rFonts w:cs="Verdana" w:ascii="Verdana" w:hAnsi="Verdana"/>
          <w:b/>
          <w:bCs/>
          <w:color w:val="000000"/>
          <w:sz w:val="20"/>
          <w:szCs w:val="20"/>
        </w:rPr>
        <w:t xml:space="preserve">8.1. </w:t>
      </w:r>
      <w:r>
        <w:rPr>
          <w:rFonts w:cs="Times New Roman" w:ascii="Verdana" w:hAnsi="Verdana"/>
          <w:b/>
          <w:bCs/>
          <w:iCs/>
          <w:color w:val="000000"/>
          <w:sz w:val="20"/>
          <w:szCs w:val="20"/>
        </w:rPr>
        <w:t xml:space="preserve">O prazo de vigência da aquisição será de 12 (doze) </w:t>
      </w:r>
      <w:r>
        <w:rPr>
          <w:rFonts w:eastAsia="Times New Roman" w:cs="Times New Roman" w:ascii="Verdana" w:hAnsi="Verdana"/>
          <w:b/>
          <w:bCs/>
          <w:iCs/>
          <w:color w:val="000000"/>
          <w:sz w:val="20"/>
          <w:szCs w:val="20"/>
        </w:rPr>
        <w:t>meses, e a entrega do objeto</w:t>
      </w:r>
      <w:r>
        <w:rPr>
          <w:rFonts w:cs="Times New Roman" w:ascii="Verdana" w:hAnsi="Verdana"/>
          <w:b/>
          <w:bCs/>
          <w:iCs/>
          <w:color w:val="000000"/>
          <w:sz w:val="20"/>
          <w:szCs w:val="20"/>
        </w:rPr>
        <w:t xml:space="preserve"> será </w:t>
      </w:r>
      <w:r>
        <w:rPr>
          <w:rFonts w:eastAsia="Times New Roman" w:cs="Times New Roman" w:ascii="Verdana" w:hAnsi="Verdana"/>
          <w:b/>
          <w:bCs/>
          <w:iCs/>
          <w:color w:val="000000"/>
          <w:sz w:val="20"/>
          <w:szCs w:val="20"/>
        </w:rPr>
        <w:t>de 05 (cinco) dias, contados</w:t>
      </w:r>
      <w:r>
        <w:rPr>
          <w:rFonts w:cs="Times New Roman" w:ascii="Verdana" w:hAnsi="Verdana"/>
          <w:b/>
          <w:bCs/>
          <w:iCs/>
          <w:color w:val="000000"/>
          <w:sz w:val="20"/>
          <w:szCs w:val="20"/>
        </w:rPr>
        <w:t xml:space="preserve"> a partir da confirmação de recebimento da autorização de fornecimento/execução emitida pelo Departamento de Compras e Contratos.</w:t>
      </w:r>
    </w:p>
    <w:p>
      <w:pPr>
        <w:pStyle w:val="Normal"/>
        <w:tabs>
          <w:tab w:val="clear" w:pos="708"/>
          <w:tab w:val="left" w:pos="0" w:leader="none"/>
        </w:tabs>
        <w:spacing w:lineRule="auto" w:line="240"/>
        <w:ind w:hanging="0" w:start="0" w:end="0"/>
        <w:jc w:val="both"/>
        <w:rPr>
          <w:sz w:val="20"/>
          <w:szCs w:val="20"/>
        </w:rPr>
      </w:pPr>
      <w:r>
        <w:rPr>
          <w:rFonts w:ascii="Verdana" w:hAnsi="Verdana"/>
          <w:b w:val="false"/>
          <w:bCs w:val="false"/>
          <w:sz w:val="20"/>
          <w:szCs w:val="20"/>
        </w:rPr>
        <w:t>8</w:t>
      </w:r>
      <w:r>
        <w:rPr>
          <w:rFonts w:ascii="Verdana" w:hAnsi="Verdana"/>
          <w:b w:val="false"/>
          <w:bCs w:val="false"/>
          <w:sz w:val="20"/>
          <w:szCs w:val="20"/>
        </w:rPr>
        <w:t xml:space="preserve">.2. </w:t>
      </w:r>
      <w:r>
        <w:rPr>
          <w:rFonts w:eastAsia="Times New Roman" w:cs="Times New Roman" w:ascii="Verdana" w:hAnsi="Verdana"/>
          <w:b w:val="false"/>
          <w:bCs w:val="false"/>
          <w:sz w:val="20"/>
          <w:szCs w:val="20"/>
        </w:rPr>
        <w:t>O objeto</w:t>
      </w:r>
      <w:r>
        <w:rPr>
          <w:rFonts w:ascii="Verdana" w:hAnsi="Verdana"/>
          <w:b w:val="false"/>
          <w:bCs w:val="false"/>
          <w:sz w:val="20"/>
          <w:szCs w:val="20"/>
        </w:rPr>
        <w:t xml:space="preserve"> deverá ser entregue no seguinte endereço:</w:t>
      </w:r>
    </w:p>
    <w:p>
      <w:pPr>
        <w:pStyle w:val="Normal"/>
        <w:spacing w:lineRule="auto" w:line="240" w:before="0" w:after="0"/>
        <w:jc w:val="both"/>
        <w:rPr>
          <w:sz w:val="20"/>
          <w:szCs w:val="20"/>
        </w:rPr>
      </w:pPr>
      <w:r>
        <w:rPr>
          <w:rFonts w:eastAsia="Times New Roman" w:cs="Arial" w:ascii="Verdana" w:hAnsi="Verdana"/>
          <w:b w:val="false"/>
          <w:bCs w:val="false"/>
          <w:color w:val="auto"/>
          <w:kern w:val="0"/>
          <w:sz w:val="20"/>
          <w:szCs w:val="20"/>
          <w:lang w:val="pt-BR" w:eastAsia="zh-CN" w:bidi="ar-SA"/>
        </w:rPr>
        <w:t>Departamento de Almoxarifado Central</w:t>
      </w:r>
    </w:p>
    <w:p>
      <w:pPr>
        <w:pStyle w:val="Normal"/>
        <w:spacing w:lineRule="auto" w:line="240" w:before="0" w:after="0"/>
        <w:jc w:val="both"/>
        <w:rPr>
          <w:sz w:val="20"/>
          <w:szCs w:val="20"/>
        </w:rPr>
      </w:pPr>
      <w:r>
        <w:rPr>
          <w:rFonts w:eastAsia="Times New Roman" w:cs="Arial" w:ascii="Verdana" w:hAnsi="Verdana"/>
          <w:b w:val="false"/>
          <w:bCs w:val="false"/>
          <w:color w:val="auto"/>
          <w:kern w:val="0"/>
          <w:sz w:val="20"/>
          <w:szCs w:val="20"/>
          <w:lang w:val="pt-BR" w:eastAsia="zh-CN" w:bidi="ar-SA"/>
        </w:rPr>
        <w:t>Praça Vicente Glazar, 159 – Bairro Glória</w:t>
      </w:r>
    </w:p>
    <w:p>
      <w:pPr>
        <w:pStyle w:val="Normal"/>
        <w:spacing w:lineRule="auto" w:line="240" w:before="0" w:after="0"/>
        <w:jc w:val="both"/>
        <w:rPr>
          <w:sz w:val="20"/>
          <w:szCs w:val="20"/>
        </w:rPr>
      </w:pPr>
      <w:r>
        <w:rPr>
          <w:rFonts w:eastAsia="Times New Roman" w:cs="Arial" w:ascii="Verdana" w:hAnsi="Verdana"/>
          <w:b w:val="false"/>
          <w:bCs w:val="false"/>
          <w:color w:val="auto"/>
          <w:kern w:val="0"/>
          <w:sz w:val="20"/>
          <w:szCs w:val="20"/>
          <w:lang w:val="pt-BR" w:eastAsia="zh-CN" w:bidi="ar-SA"/>
        </w:rPr>
        <w:t>São Gabriel da Palha/ES – CEP: 29780-000</w:t>
      </w:r>
    </w:p>
    <w:p>
      <w:pPr>
        <w:pStyle w:val="Normal"/>
        <w:spacing w:lineRule="auto" w:line="240" w:before="0" w:after="0"/>
        <w:jc w:val="both"/>
        <w:rPr>
          <w:sz w:val="20"/>
          <w:szCs w:val="20"/>
        </w:rPr>
      </w:pPr>
      <w:r>
        <w:rPr>
          <w:rFonts w:cs="Arial" w:ascii="Verdana" w:hAnsi="Verdana"/>
          <w:b w:val="false"/>
          <w:bCs w:val="false"/>
          <w:sz w:val="20"/>
          <w:szCs w:val="20"/>
        </w:rPr>
        <w:t>8</w:t>
      </w:r>
      <w:r>
        <w:rPr>
          <w:rFonts w:cs="Arial" w:ascii="Verdana" w:hAnsi="Verdana"/>
          <w:b w:val="false"/>
          <w:bCs w:val="false"/>
          <w:sz w:val="20"/>
          <w:szCs w:val="20"/>
        </w:rPr>
        <w:t>.2.1. CONTATO</w:t>
      </w:r>
    </w:p>
    <w:p>
      <w:pPr>
        <w:pStyle w:val="Normal"/>
        <w:spacing w:lineRule="auto" w:line="240" w:before="0" w:after="0"/>
        <w:jc w:val="both"/>
        <w:rPr>
          <w:sz w:val="20"/>
          <w:szCs w:val="20"/>
        </w:rPr>
      </w:pPr>
      <w:r>
        <w:rPr>
          <w:rFonts w:cs="Arial" w:ascii="Verdana" w:hAnsi="Verdana"/>
          <w:b w:val="false"/>
          <w:bCs w:val="false"/>
          <w:sz w:val="20"/>
          <w:szCs w:val="20"/>
        </w:rPr>
        <w:t xml:space="preserve">Tel: 27 </w:t>
      </w:r>
      <w:r>
        <w:rPr>
          <w:rFonts w:eastAsia="Times New Roman" w:cs="Arial" w:ascii="Verdana" w:hAnsi="Verdana"/>
          <w:b w:val="false"/>
          <w:bCs w:val="false"/>
          <w:color w:val="auto"/>
          <w:kern w:val="0"/>
          <w:sz w:val="20"/>
          <w:szCs w:val="20"/>
          <w:lang w:val="pt-BR" w:eastAsia="zh-CN" w:bidi="ar-SA"/>
        </w:rPr>
        <w:t>99975-6571</w:t>
      </w:r>
    </w:p>
    <w:p>
      <w:pPr>
        <w:pStyle w:val="Normal"/>
        <w:spacing w:lineRule="auto" w:line="240" w:before="0" w:after="0"/>
        <w:jc w:val="both"/>
        <w:rPr/>
      </w:pPr>
      <w:r>
        <w:rPr>
          <w:rFonts w:cs="Arial" w:ascii="Verdana" w:hAnsi="Verdana"/>
          <w:b w:val="false"/>
          <w:bCs w:val="false"/>
          <w:sz w:val="20"/>
          <w:szCs w:val="20"/>
        </w:rPr>
        <w:t xml:space="preserve">Email: </w:t>
      </w:r>
      <w:hyperlink r:id="rId2">
        <w:r>
          <w:rPr>
            <w:rStyle w:val="Hyperlink"/>
            <w:rFonts w:eastAsia="Times New Roman" w:cs="Arial" w:ascii="Verdana" w:hAnsi="Verdana"/>
            <w:b w:val="false"/>
            <w:bCs w:val="false"/>
            <w:color w:val="auto"/>
            <w:kern w:val="0"/>
            <w:sz w:val="20"/>
            <w:szCs w:val="20"/>
            <w:lang w:val="pt-BR" w:eastAsia="zh-CN" w:bidi="ar-SA"/>
          </w:rPr>
          <w:t>assistenciasgp@gmail.com</w:t>
        </w:r>
      </w:hyperlink>
      <w:r>
        <w:rPr>
          <w:rFonts w:eastAsia="Times New Roman" w:cs="Arial" w:ascii="Verdana" w:hAnsi="Verdana"/>
          <w:b w:val="false"/>
          <w:bCs w:val="false"/>
          <w:color w:val="auto"/>
          <w:kern w:val="0"/>
          <w:sz w:val="20"/>
          <w:szCs w:val="20"/>
          <w:lang w:val="pt-BR" w:eastAsia="zh-CN" w:bidi="ar-SA"/>
        </w:rPr>
        <w:t xml:space="preserve"> </w:t>
      </w:r>
    </w:p>
    <w:p>
      <w:pPr>
        <w:pStyle w:val="Normal"/>
        <w:spacing w:lineRule="auto" w:line="240" w:before="0" w:after="0"/>
        <w:jc w:val="both"/>
        <w:rPr>
          <w:sz w:val="20"/>
          <w:szCs w:val="20"/>
        </w:rPr>
      </w:pPr>
      <w:r>
        <w:rPr>
          <w:rFonts w:eastAsia="Times New Roman" w:cs="Arial" w:ascii="Verdana" w:hAnsi="Verdana"/>
          <w:b w:val="false"/>
          <w:bCs w:val="false"/>
          <w:color w:val="auto"/>
          <w:kern w:val="0"/>
          <w:sz w:val="20"/>
          <w:szCs w:val="20"/>
          <w:lang w:val="pt-BR" w:eastAsia="zh-CN" w:bidi="ar-SA"/>
        </w:rPr>
        <w:t xml:space="preserve">Responsável: Secretaria Municipal de Assistência, Desenvolvimento Social e Família </w:t>
      </w:r>
    </w:p>
    <w:p>
      <w:pPr>
        <w:pStyle w:val="Nivel2"/>
        <w:numPr>
          <w:ilvl w:val="0"/>
          <w:numId w:val="0"/>
        </w:numPr>
        <w:spacing w:lineRule="auto" w:line="240" w:before="0" w:after="0"/>
        <w:ind w:hanging="0" w:start="0" w:end="0"/>
        <w:rPr>
          <w:sz w:val="20"/>
          <w:szCs w:val="20"/>
        </w:rPr>
      </w:pPr>
      <w:r>
        <w:rPr>
          <w:rFonts w:cs="Times New Roman" w:ascii="Verdana" w:hAnsi="Verdana"/>
          <w:b w:val="false"/>
          <w:bCs w:val="false"/>
          <w:iCs/>
          <w:color w:val="auto"/>
          <w:sz w:val="20"/>
          <w:szCs w:val="20"/>
        </w:rPr>
        <w:t>8</w:t>
      </w:r>
      <w:r>
        <w:rPr>
          <w:rFonts w:cs="Times New Roman" w:ascii="Verdana" w:hAnsi="Verdana"/>
          <w:b w:val="false"/>
          <w:bCs w:val="false"/>
          <w:iCs/>
          <w:color w:val="auto"/>
          <w:sz w:val="20"/>
          <w:szCs w:val="20"/>
        </w:rPr>
        <w:t>.3</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entrega na data assinalada, a empresa deverá comunicar as razões respectivas com pelo menos 02 (dois)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numPr>
          <w:ilvl w:val="0"/>
          <w:numId w:val="0"/>
        </w:numPr>
        <w:spacing w:lineRule="auto" w:line="240" w:before="0" w:after="0"/>
        <w:ind w:hanging="0" w:start="0" w:end="0"/>
        <w:rPr>
          <w:sz w:val="20"/>
          <w:szCs w:val="20"/>
        </w:rPr>
      </w:pPr>
      <w:r>
        <w:rPr>
          <w:rFonts w:cs="Times New Roman" w:ascii="Verdana" w:hAnsi="Verdana"/>
          <w:b w:val="false"/>
          <w:bCs w:val="false"/>
          <w:color w:val="auto"/>
          <w:sz w:val="20"/>
          <w:szCs w:val="20"/>
        </w:rPr>
        <w:t>8</w:t>
      </w:r>
      <w:r>
        <w:rPr>
          <w:rFonts w:cs="Times New Roman" w:ascii="Verdana" w:hAnsi="Verdana"/>
          <w:b w:val="false"/>
          <w:bCs w:val="false"/>
          <w:color w:val="auto"/>
          <w:sz w:val="20"/>
          <w:szCs w:val="20"/>
        </w:rPr>
        <w:t>.4.</w:t>
      </w:r>
      <w:r>
        <w:rPr>
          <w:rFonts w:cs="Times New Roman" w:ascii="Verdana" w:hAnsi="Verdana"/>
          <w:bCs/>
          <w:color w:val="auto"/>
          <w:sz w:val="20"/>
          <w:szCs w:val="20"/>
        </w:rPr>
        <w:t xml:space="preserve"> Os itens serão recebidos pelo(a) responsável </w:t>
      </w:r>
      <w:r>
        <w:rPr>
          <w:rFonts w:eastAsia="Calibri" w:cs="Times New Roman" w:ascii="Verdana" w:hAnsi="Verdana"/>
          <w:bCs/>
          <w:color w:val="auto"/>
          <w:kern w:val="0"/>
          <w:sz w:val="20"/>
          <w:szCs w:val="20"/>
          <w:lang w:val="pt-BR" w:eastAsia="en-US" w:bidi="ar-SA"/>
        </w:rPr>
        <w:t>do Departamento de Almoxarifado e por um representante da secretaria requisitante,</w:t>
      </w:r>
      <w:r>
        <w:rPr>
          <w:rFonts w:cs="Times New Roman" w:ascii="Verdana" w:hAnsi="Verdana"/>
          <w:bCs/>
          <w:color w:val="auto"/>
          <w:sz w:val="20"/>
          <w:szCs w:val="20"/>
        </w:rPr>
        <w:t xml:space="preserve"> para acompanhamento e fiscalização e posterior verificação de sua conformidade com as especificações constantes neste Termo de Referência e na proposta.</w:t>
      </w:r>
    </w:p>
    <w:p>
      <w:pPr>
        <w:pStyle w:val="ListParagraph"/>
        <w:spacing w:lineRule="auto" w:line="240"/>
        <w:ind w:hanging="0" w:start="0" w:end="0"/>
        <w:jc w:val="both"/>
        <w:rPr>
          <w:sz w:val="20"/>
          <w:szCs w:val="20"/>
        </w:rPr>
      </w:pPr>
      <w:r>
        <w:rPr>
          <w:rFonts w:ascii="Verdana" w:hAnsi="Verdana"/>
          <w:b w:val="false"/>
          <w:bCs w:val="false"/>
          <w:sz w:val="20"/>
          <w:szCs w:val="20"/>
        </w:rPr>
        <w:t>8</w:t>
      </w:r>
      <w:r>
        <w:rPr>
          <w:rFonts w:ascii="Verdana" w:hAnsi="Verdana"/>
          <w:b w:val="false"/>
          <w:bCs w:val="false"/>
          <w:sz w:val="20"/>
          <w:szCs w:val="20"/>
        </w:rPr>
        <w:t>.5.</w:t>
      </w:r>
      <w:r>
        <w:rPr>
          <w:rFonts w:ascii="Verdana" w:hAnsi="Verdana"/>
          <w:sz w:val="20"/>
          <w:szCs w:val="20"/>
        </w:rPr>
        <w:t xml:space="preserve"> A conferência </w:t>
      </w:r>
      <w:r>
        <w:rPr>
          <w:rFonts w:eastAsia="Times New Roman" w:cs="Times New Roman" w:ascii="Verdana" w:hAnsi="Verdana"/>
          <w:sz w:val="20"/>
          <w:szCs w:val="20"/>
        </w:rPr>
        <w:t>dos itens</w:t>
      </w:r>
      <w:r>
        <w:rPr>
          <w:rFonts w:ascii="Verdana" w:hAnsi="Verdana"/>
          <w:sz w:val="20"/>
          <w:szCs w:val="20"/>
        </w:rPr>
        <w:t xml:space="preserve"> deverá ser acompanhada por um servidor </w:t>
      </w:r>
      <w:r>
        <w:rPr>
          <w:rFonts w:eastAsia="Times New Roman" w:cs="Times New Roman" w:ascii="Verdana" w:hAnsi="Verdana"/>
          <w:sz w:val="20"/>
          <w:szCs w:val="20"/>
        </w:rPr>
        <w:t>da secretaria requisitante</w:t>
      </w:r>
      <w:r>
        <w:rPr>
          <w:rFonts w:ascii="Verdana" w:hAnsi="Verdana"/>
          <w:sz w:val="20"/>
          <w:szCs w:val="20"/>
        </w:rPr>
        <w:t>, a fim de zelar pela qualidade e quantidade dos itens a serem adquiridos.</w:t>
      </w:r>
    </w:p>
    <w:p>
      <w:pPr>
        <w:pStyle w:val="Nivel2"/>
        <w:numPr>
          <w:ilvl w:val="0"/>
          <w:numId w:val="0"/>
        </w:numPr>
        <w:spacing w:lineRule="auto" w:line="240" w:before="0" w:after="0"/>
        <w:ind w:hanging="0" w:start="0" w:end="0"/>
        <w:rPr>
          <w:sz w:val="20"/>
          <w:szCs w:val="20"/>
        </w:rPr>
      </w:pPr>
      <w:r>
        <w:rPr>
          <w:rFonts w:cs="Times New Roman" w:ascii="Verdana" w:hAnsi="Verdana"/>
          <w:b w:val="false"/>
          <w:bCs w:val="false"/>
          <w:color w:val="auto"/>
          <w:sz w:val="20"/>
          <w:szCs w:val="20"/>
        </w:rPr>
        <w:t>8</w:t>
      </w:r>
      <w:r>
        <w:rPr>
          <w:rFonts w:cs="Times New Roman" w:ascii="Verdana" w:hAnsi="Verdana"/>
          <w:b w:val="false"/>
          <w:bCs w:val="false"/>
          <w:color w:val="auto"/>
          <w:sz w:val="20"/>
          <w:szCs w:val="20"/>
        </w:rPr>
        <w:t>.6.</w:t>
      </w:r>
      <w:r>
        <w:rPr>
          <w:rFonts w:cs="Times New Roman" w:ascii="Verdana" w:hAnsi="Verdana"/>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pPr>
        <w:pStyle w:val="ListParagraph"/>
        <w:spacing w:lineRule="auto" w:line="240"/>
        <w:ind w:hanging="0" w:start="0" w:end="0"/>
        <w:jc w:val="both"/>
        <w:rPr>
          <w:sz w:val="20"/>
          <w:szCs w:val="20"/>
        </w:rPr>
      </w:pPr>
      <w:r>
        <w:rPr>
          <w:rFonts w:ascii="Verdana" w:hAnsi="Verdana"/>
          <w:b w:val="false"/>
          <w:bCs w:val="false"/>
          <w:sz w:val="20"/>
          <w:szCs w:val="20"/>
        </w:rPr>
        <w:t>8</w:t>
      </w:r>
      <w:r>
        <w:rPr>
          <w:rFonts w:ascii="Verdana" w:hAnsi="Verdana"/>
          <w:b w:val="false"/>
          <w:bCs w:val="false"/>
          <w:sz w:val="20"/>
          <w:szCs w:val="20"/>
        </w:rPr>
        <w:t>.7.</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numPr>
          <w:ilvl w:val="0"/>
          <w:numId w:val="0"/>
        </w:numPr>
        <w:spacing w:lineRule="auto" w:line="240" w:before="0" w:after="0"/>
        <w:ind w:hanging="0" w:start="0" w:end="0"/>
        <w:rPr>
          <w:sz w:val="20"/>
          <w:szCs w:val="20"/>
        </w:rPr>
      </w:pPr>
      <w:r>
        <w:rPr>
          <w:rFonts w:cs="Times New Roman" w:ascii="Verdana" w:hAnsi="Verdana"/>
          <w:b w:val="false"/>
          <w:bCs w:val="false"/>
          <w:iCs/>
          <w:color w:val="auto"/>
          <w:sz w:val="20"/>
          <w:szCs w:val="20"/>
        </w:rPr>
        <w:t>8</w:t>
      </w:r>
      <w:r>
        <w:rPr>
          <w:rFonts w:cs="Times New Roman" w:ascii="Verdana" w:hAnsi="Verdana"/>
          <w:b w:val="false"/>
          <w:bCs w:val="false"/>
          <w:iCs/>
          <w:color w:val="auto"/>
          <w:sz w:val="20"/>
          <w:szCs w:val="20"/>
        </w:rPr>
        <w:t>.8. No caso de recusa da entrega do produto pelo fornecedor, a Administração Pública adotará as providências cabíveis, de cordo com a legislação aplicável, visando sanar problemas por ventura ocorridos.</w:t>
      </w:r>
    </w:p>
    <w:p>
      <w:pPr>
        <w:pStyle w:val="Normal"/>
        <w:spacing w:lineRule="auto" w:line="240" w:before="57" w:after="57"/>
        <w:ind w:hanging="0" w:start="0" w:end="0"/>
        <w:jc w:val="both"/>
        <w:rPr>
          <w:sz w:val="20"/>
          <w:szCs w:val="20"/>
        </w:rPr>
      </w:pPr>
      <w:r>
        <w:rPr>
          <w:rFonts w:eastAsia="Times New Roman" w:cs="Times New Roman" w:ascii="Verdana" w:hAnsi="Verdana"/>
          <w:b w:val="false"/>
          <w:bCs w:val="false"/>
          <w:i w:val="false"/>
          <w:iCs/>
          <w:color w:val="000000"/>
          <w:kern w:val="0"/>
          <w:sz w:val="20"/>
          <w:szCs w:val="20"/>
          <w:shd w:fill="auto" w:val="clear"/>
          <w:lang w:val="pt-BR" w:eastAsia="pt-BR" w:bidi="ar-SA"/>
        </w:rPr>
        <w:t>8</w:t>
      </w:r>
      <w:r>
        <w:rPr>
          <w:rFonts w:eastAsia="Times New Roman" w:cs="Times New Roman" w:ascii="Verdana" w:hAnsi="Verdana"/>
          <w:b w:val="false"/>
          <w:bCs w:val="false"/>
          <w:i w:val="false"/>
          <w:iCs/>
          <w:color w:val="000000"/>
          <w:kern w:val="0"/>
          <w:sz w:val="20"/>
          <w:szCs w:val="20"/>
          <w:shd w:fill="auto" w:val="clear"/>
          <w:lang w:val="pt-BR" w:eastAsia="pt-BR" w:bidi="ar-SA"/>
        </w:rPr>
        <w:t>.9. Não se verifica contratações correlatas ou interdependentes.</w:t>
      </w:r>
    </w:p>
    <w:p>
      <w:pPr>
        <w:pStyle w:val="Normal"/>
        <w:spacing w:lineRule="auto" w:line="240" w:before="0" w:after="0"/>
        <w:ind w:hanging="0" w:start="0" w:end="0"/>
        <w:jc w:val="both"/>
        <w:rPr>
          <w:rFonts w:ascii="Verdana" w:hAnsi="Verdana" w:cs="Verdana"/>
          <w:sz w:val="20"/>
          <w:szCs w:val="20"/>
        </w:rPr>
      </w:pPr>
      <w:r>
        <w:rPr>
          <w:rFonts w:cs="Verdana" w:ascii="Verdana" w:hAnsi="Verdana"/>
          <w:sz w:val="20"/>
          <w:szCs w:val="20"/>
        </w:rPr>
      </w:r>
    </w:p>
    <w:p>
      <w:pPr>
        <w:pStyle w:val="Normal"/>
        <w:spacing w:lineRule="auto" w:line="240" w:before="0" w:after="0"/>
        <w:ind w:hanging="0" w:start="0" w:end="0"/>
        <w:jc w:val="both"/>
        <w:rPr/>
      </w:pPr>
      <w:r>
        <w:rPr>
          <w:rFonts w:cs="Verdana" w:ascii="Verdana" w:hAnsi="Verdana"/>
          <w:b/>
          <w:iCs/>
          <w:sz w:val="20"/>
          <w:szCs w:val="20"/>
          <w:u w:val="single"/>
        </w:rPr>
        <w:t>CLÁUSULA NONA – DO PAGAMENTO</w:t>
      </w:r>
    </w:p>
    <w:p>
      <w:pPr>
        <w:pStyle w:val="Normal"/>
        <w:tabs>
          <w:tab w:val="clear" w:pos="708"/>
          <w:tab w:val="left" w:pos="284" w:leader="none"/>
        </w:tabs>
        <w:spacing w:lineRule="auto" w:line="240" w:before="57" w:after="57"/>
        <w:ind w:hanging="0" w:start="0" w:end="0"/>
        <w:jc w:val="both"/>
        <w:rPr/>
      </w:pPr>
      <w:r>
        <w:rPr>
          <w:rFonts w:cs="Verdana" w:ascii="Verdana" w:hAnsi="Verdana"/>
          <w:b/>
          <w:bCs/>
          <w:sz w:val="20"/>
          <w:szCs w:val="20"/>
        </w:rPr>
        <w:t xml:space="preserve">9.1. </w:t>
      </w:r>
      <w:r>
        <w:rPr>
          <w:rFonts w:cs="Verdana" w:ascii="Verdana" w:hAnsi="Verdana"/>
          <w:b/>
          <w:i/>
          <w:iCs/>
          <w:sz w:val="20"/>
          <w:szCs w:val="20"/>
          <w:u w:val="single"/>
        </w:rPr>
        <w:t>O PAGAMENTO SOMENTE OCORRERÁ MEDIANTE ENTREGA TOTAL</w:t>
      </w:r>
      <w:r>
        <w:rPr>
          <w:rFonts w:cs="Verdana" w:ascii="Verdana" w:hAnsi="Verdana"/>
          <w:b/>
          <w:i/>
          <w:sz w:val="20"/>
          <w:szCs w:val="20"/>
          <w:u w:val="single"/>
        </w:rPr>
        <w:t xml:space="preserve"> DO OBJETO, DE ACORDO COM CADA ORDEM DE FORNECIMENTO APRESENTADA, E APROVAÇÃO DA SECRETARIA REQUISITANTE E SERÁ REALIZADO PELO DEPARTAMENTO DO TESOURO MUNICIPAL;</w:t>
      </w:r>
    </w:p>
    <w:p>
      <w:pPr>
        <w:pStyle w:val="Normal"/>
        <w:spacing w:lineRule="auto" w:line="240" w:before="57" w:after="57"/>
        <w:ind w:hanging="0" w:start="0" w:end="0"/>
        <w:jc w:val="both"/>
        <w:rPr/>
      </w:pPr>
      <w:r>
        <w:rPr>
          <w:rFonts w:cs="Verdana" w:ascii="Verdana" w:hAnsi="Verdana"/>
          <w:b/>
          <w:bCs/>
          <w:sz w:val="20"/>
          <w:szCs w:val="20"/>
          <w:lang w:eastAsia="en-US"/>
        </w:rPr>
        <w:t>9.2.</w:t>
      </w:r>
      <w:r>
        <w:rPr>
          <w:rFonts w:cs="Verdana" w:ascii="Verdana" w:hAnsi="Verdana"/>
          <w:sz w:val="20"/>
          <w:szCs w:val="20"/>
          <w:lang w:eastAsia="en-US"/>
        </w:rPr>
        <w:t xml:space="preserve"> </w:t>
      </w:r>
      <w:r>
        <w:rPr>
          <w:rFonts w:cs="Verdana" w:ascii="Verdana" w:hAnsi="Verdana"/>
          <w:b w:val="false"/>
          <w:bCs w:val="false"/>
          <w:sz w:val="20"/>
          <w:szCs w:val="20"/>
          <w:lang w:eastAsia="en-US"/>
        </w:rPr>
        <w:t xml:space="preserve">Recebida a Nota Fiscal ou documento de cobrança equivalente, correrá o prazo de </w:t>
      </w:r>
      <w:r>
        <w:rPr>
          <w:rFonts w:eastAsia="Times New Roman" w:cs="Verdana" w:ascii="Verdana" w:hAnsi="Verdana"/>
          <w:b w:val="false"/>
          <w:bCs w:val="false"/>
          <w:sz w:val="20"/>
          <w:szCs w:val="20"/>
          <w:lang w:eastAsia="en-US"/>
        </w:rPr>
        <w:t>(30) trinta</w:t>
      </w:r>
      <w:r>
        <w:rPr>
          <w:rFonts w:cs="Verdana"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before="57" w:after="57"/>
        <w:ind w:hanging="0" w:start="0" w:end="0"/>
        <w:jc w:val="both"/>
        <w:rPr/>
      </w:pPr>
      <w:r>
        <w:rPr>
          <w:rFonts w:cs="Verdana" w:ascii="Verdana" w:hAnsi="Verdana"/>
          <w:b/>
          <w:bCs/>
          <w:sz w:val="20"/>
          <w:szCs w:val="20"/>
        </w:rPr>
        <w:t>9.3</w:t>
      </w:r>
      <w:r>
        <w:rPr>
          <w:rFonts w:cs="Verdana" w:ascii="Verdana" w:hAnsi="Verdana"/>
          <w:b w:val="false"/>
          <w:bCs w:val="false"/>
          <w:sz w:val="20"/>
          <w:szCs w:val="20"/>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sz w:val="20"/>
          <w:u w:val="none"/>
          <w:b w:val="false"/>
          <w:szCs w:val="20"/>
          <w:bCs w:val="false"/>
          <w:rFonts w:cs="Verdana" w:ascii="Verdana" w:hAnsi="Verdana"/>
          <w:color w:val="000000"/>
        </w:rPr>
        <w:instrText xml:space="preserve"> HYPERLINK "http://www.planalto.gov.br/ccivil_03/_ato2019-2022/2021/lei/L14133.htm" \l "art75"</w:instrText>
      </w:r>
      <w:r>
        <w:rPr>
          <w:rStyle w:val="Hyperlink"/>
          <w:sz w:val="20"/>
          <w:u w:val="none"/>
          <w:b w:val="false"/>
          <w:szCs w:val="20"/>
          <w:bCs w:val="false"/>
          <w:rFonts w:cs="Verdana" w:ascii="Verdana" w:hAnsi="Verdana"/>
          <w:color w:val="000000"/>
        </w:rPr>
        <w:fldChar w:fldCharType="separate"/>
      </w:r>
      <w:r>
        <w:rPr>
          <w:rStyle w:val="Hyperlink"/>
          <w:rFonts w:cs="Verdana" w:ascii="Verdana" w:hAnsi="Verdana"/>
          <w:b w:val="false"/>
          <w:bCs w:val="false"/>
          <w:color w:val="000000"/>
          <w:sz w:val="20"/>
          <w:szCs w:val="20"/>
          <w:u w:val="none"/>
        </w:rPr>
        <w:t>inciso II do art. 75 da Lei nº 14.133, de 2021</w:t>
      </w:r>
      <w:r>
        <w:rPr>
          <w:rStyle w:val="Hyperlink"/>
          <w:sz w:val="20"/>
          <w:u w:val="none"/>
          <w:b w:val="false"/>
          <w:szCs w:val="20"/>
          <w:bCs w:val="false"/>
          <w:rFonts w:cs="Verdana" w:ascii="Verdana" w:hAnsi="Verdana"/>
          <w:color w:val="000000"/>
        </w:rPr>
        <w:fldChar w:fldCharType="end"/>
      </w:r>
      <w:r>
        <w:rPr>
          <w:rFonts w:cs="Verdana" w:ascii="Verdana" w:hAnsi="Verdana"/>
          <w:b w:val="false"/>
          <w:bCs w:val="false"/>
          <w:color w:val="000000"/>
          <w:sz w:val="20"/>
          <w:szCs w:val="20"/>
          <w:u w:val="none"/>
        </w:rPr>
        <w:t>.</w:t>
      </w:r>
    </w:p>
    <w:p>
      <w:pPr>
        <w:pStyle w:val="Normal"/>
        <w:spacing w:lineRule="auto" w:line="240" w:before="0" w:after="0"/>
        <w:ind w:hanging="0" w:start="0" w:end="0"/>
        <w:jc w:val="both"/>
        <w:rPr/>
      </w:pPr>
      <w:r>
        <w:rPr>
          <w:rFonts w:cs="Verdana" w:ascii="Verdana" w:hAnsi="Verdana"/>
          <w:b/>
          <w:bCs/>
          <w:sz w:val="20"/>
          <w:szCs w:val="20"/>
        </w:rPr>
        <w:t>9.4</w:t>
      </w:r>
      <w:r>
        <w:rPr>
          <w:rFonts w:cs="Verdana" w:ascii="Verdana" w:hAnsi="Verdana"/>
          <w:b w:val="false"/>
          <w:bCs w:val="false"/>
          <w:sz w:val="20"/>
          <w:szCs w:val="20"/>
        </w:rPr>
        <w:t xml:space="preserve">. Para fins de liquidação, o setor competente deverá verificar se a nota fiscal ou instrumento de cobrança equivalente apresentado expressa os elementos necessários e essenciais do documento, tais como: </w:t>
      </w:r>
    </w:p>
    <w:p>
      <w:pPr>
        <w:pStyle w:val="Normal"/>
        <w:widowControl/>
        <w:numPr>
          <w:ilvl w:val="0"/>
          <w:numId w:val="4"/>
        </w:numPr>
        <w:tabs>
          <w:tab w:val="clear" w:pos="708"/>
          <w:tab w:val="left" w:pos="563" w:leader="none"/>
        </w:tabs>
        <w:suppressAutoHyphens w:val="true"/>
        <w:bidi w:val="0"/>
        <w:spacing w:lineRule="auto" w:line="240" w:before="0" w:after="0"/>
        <w:ind w:hanging="0" w:start="340" w:end="0"/>
        <w:jc w:val="both"/>
        <w:rPr/>
      </w:pPr>
      <w:r>
        <w:rPr>
          <w:rFonts w:cs="Verdana" w:ascii="Verdana" w:hAnsi="Verdana"/>
          <w:b w:val="false"/>
          <w:bCs w:val="false"/>
          <w:sz w:val="20"/>
          <w:szCs w:val="20"/>
        </w:rPr>
        <w:t>O prazo de validade;</w:t>
      </w:r>
    </w:p>
    <w:p>
      <w:pPr>
        <w:pStyle w:val="Normal"/>
        <w:widowControl/>
        <w:numPr>
          <w:ilvl w:val="0"/>
          <w:numId w:val="4"/>
        </w:numPr>
        <w:tabs>
          <w:tab w:val="clear" w:pos="708"/>
          <w:tab w:val="left" w:pos="563" w:leader="none"/>
        </w:tabs>
        <w:suppressAutoHyphens w:val="true"/>
        <w:bidi w:val="0"/>
        <w:spacing w:lineRule="auto" w:line="240" w:before="0" w:after="0"/>
        <w:ind w:hanging="0" w:start="340" w:end="0"/>
        <w:jc w:val="both"/>
        <w:rPr/>
      </w:pPr>
      <w:r>
        <w:rPr>
          <w:rFonts w:cs="Verdana" w:ascii="Verdana" w:hAnsi="Verdana"/>
          <w:b w:val="false"/>
          <w:bCs w:val="false"/>
          <w:sz w:val="20"/>
          <w:szCs w:val="20"/>
        </w:rPr>
        <w:t xml:space="preserve">A data da emissão; </w:t>
      </w:r>
    </w:p>
    <w:p>
      <w:pPr>
        <w:pStyle w:val="Normal"/>
        <w:widowControl/>
        <w:numPr>
          <w:ilvl w:val="0"/>
          <w:numId w:val="4"/>
        </w:numPr>
        <w:tabs>
          <w:tab w:val="clear" w:pos="708"/>
          <w:tab w:val="left" w:pos="563" w:leader="none"/>
        </w:tabs>
        <w:suppressAutoHyphens w:val="true"/>
        <w:bidi w:val="0"/>
        <w:spacing w:lineRule="auto" w:line="240" w:before="0" w:after="0"/>
        <w:ind w:hanging="0" w:start="340" w:end="0"/>
        <w:jc w:val="both"/>
        <w:rPr/>
      </w:pPr>
      <w:r>
        <w:rPr>
          <w:rFonts w:cs="Verdana" w:ascii="Verdana" w:hAnsi="Verdana"/>
          <w:b w:val="false"/>
          <w:bCs w:val="false"/>
          <w:sz w:val="20"/>
          <w:szCs w:val="20"/>
        </w:rPr>
        <w:t xml:space="preserve">Os dados do contrato e do órgão contratante; </w:t>
      </w:r>
    </w:p>
    <w:p>
      <w:pPr>
        <w:pStyle w:val="Normal"/>
        <w:widowControl/>
        <w:numPr>
          <w:ilvl w:val="0"/>
          <w:numId w:val="4"/>
        </w:numPr>
        <w:tabs>
          <w:tab w:val="clear" w:pos="708"/>
          <w:tab w:val="left" w:pos="563" w:leader="none"/>
        </w:tabs>
        <w:suppressAutoHyphens w:val="true"/>
        <w:bidi w:val="0"/>
        <w:spacing w:lineRule="auto" w:line="240" w:before="0" w:after="0"/>
        <w:ind w:hanging="0" w:start="340" w:end="0"/>
        <w:jc w:val="both"/>
        <w:rPr/>
      </w:pPr>
      <w:r>
        <w:rPr>
          <w:rFonts w:cs="Verdana" w:ascii="Verdana" w:hAnsi="Verdana"/>
          <w:b w:val="false"/>
          <w:bCs w:val="false"/>
          <w:sz w:val="20"/>
          <w:szCs w:val="20"/>
        </w:rPr>
        <w:t xml:space="preserve">O período respectivo de execução do contrato; </w:t>
      </w:r>
    </w:p>
    <w:p>
      <w:pPr>
        <w:pStyle w:val="Normal"/>
        <w:widowControl/>
        <w:numPr>
          <w:ilvl w:val="0"/>
          <w:numId w:val="4"/>
        </w:numPr>
        <w:tabs>
          <w:tab w:val="clear" w:pos="708"/>
          <w:tab w:val="left" w:pos="563" w:leader="none"/>
        </w:tabs>
        <w:suppressAutoHyphens w:val="true"/>
        <w:bidi w:val="0"/>
        <w:spacing w:lineRule="auto" w:line="240" w:before="0" w:after="0"/>
        <w:ind w:hanging="0" w:start="340" w:end="0"/>
        <w:jc w:val="both"/>
        <w:rPr/>
      </w:pPr>
      <w:r>
        <w:rPr>
          <w:rFonts w:cs="Verdana" w:ascii="Verdana" w:hAnsi="Verdana"/>
          <w:b w:val="false"/>
          <w:bCs w:val="false"/>
          <w:sz w:val="20"/>
          <w:szCs w:val="20"/>
        </w:rPr>
        <w:t xml:space="preserve">O valor a pagar; e </w:t>
      </w:r>
    </w:p>
    <w:p>
      <w:pPr>
        <w:pStyle w:val="Normal"/>
        <w:widowControl/>
        <w:numPr>
          <w:ilvl w:val="0"/>
          <w:numId w:val="4"/>
        </w:numPr>
        <w:tabs>
          <w:tab w:val="clear" w:pos="708"/>
          <w:tab w:val="left" w:pos="563" w:leader="none"/>
        </w:tabs>
        <w:suppressAutoHyphens w:val="true"/>
        <w:bidi w:val="0"/>
        <w:spacing w:lineRule="auto" w:line="240" w:before="0" w:after="0"/>
        <w:ind w:hanging="0" w:start="340" w:end="0"/>
        <w:jc w:val="both"/>
        <w:rPr/>
      </w:pPr>
      <w:r>
        <w:rPr>
          <w:rFonts w:cs="Verdana" w:ascii="Verdana" w:hAnsi="Verdana"/>
          <w:b w:val="false"/>
          <w:bCs w:val="false"/>
          <w:sz w:val="20"/>
          <w:szCs w:val="20"/>
        </w:rPr>
        <w:t>Eventual destaque do valor de retenções tributárias cabíveis.</w:t>
      </w:r>
    </w:p>
    <w:p>
      <w:pPr>
        <w:pStyle w:val="Normal"/>
        <w:tabs>
          <w:tab w:val="clear" w:pos="708"/>
          <w:tab w:val="left" w:pos="563" w:leader="none"/>
        </w:tabs>
        <w:spacing w:lineRule="auto" w:line="240" w:before="0" w:after="0"/>
        <w:ind w:hanging="0" w:start="0" w:end="0"/>
        <w:jc w:val="both"/>
        <w:rPr/>
      </w:pPr>
      <w:r>
        <w:rPr>
          <w:rFonts w:cs="Verdana" w:ascii="Verdana" w:hAnsi="Verdana"/>
          <w:b/>
          <w:bCs/>
          <w:sz w:val="20"/>
          <w:szCs w:val="20"/>
        </w:rPr>
        <w:t>9.5</w:t>
      </w:r>
      <w:r>
        <w:rPr>
          <w:rFonts w:cs="Verdana" w:ascii="Verdana" w:hAnsi="Verdana"/>
          <w:b w:val="false"/>
          <w:bCs w:val="false"/>
          <w:sz w:val="20"/>
          <w:szCs w:val="20"/>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before="57" w:after="57"/>
        <w:ind w:hanging="0" w:start="0" w:end="0"/>
        <w:jc w:val="both"/>
        <w:rPr/>
      </w:pPr>
      <w:r>
        <w:rPr>
          <w:rFonts w:cs="Verdana" w:ascii="Verdana" w:hAnsi="Verdana"/>
          <w:b/>
          <w:bCs/>
          <w:sz w:val="20"/>
          <w:szCs w:val="20"/>
        </w:rPr>
        <w:t>9.6</w:t>
      </w:r>
      <w:r>
        <w:rPr>
          <w:rFonts w:cs="Verdana" w:ascii="Verdana" w:hAnsi="Verdana"/>
          <w:b w:val="false"/>
          <w:bCs w:val="false"/>
          <w:sz w:val="20"/>
          <w:szCs w:val="20"/>
        </w:rPr>
        <w:t>. A</w:t>
      </w:r>
      <w:r>
        <w:rPr>
          <w:rFonts w:cs="Verdana"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InternetLink"/>
          <w:rFonts w:cs="Verdana" w:ascii="Verdana" w:hAnsi="Verdana"/>
          <w:b w:val="false"/>
          <w:bCs w:val="false"/>
          <w:sz w:val="20"/>
          <w:szCs w:val="20"/>
          <w:lang w:eastAsia="en-US"/>
        </w:rPr>
        <w:t>.</w:t>
      </w:r>
    </w:p>
    <w:p>
      <w:pPr>
        <w:pStyle w:val="Normal"/>
        <w:spacing w:lineRule="auto" w:line="240" w:before="57" w:after="57"/>
        <w:ind w:hanging="0" w:start="0" w:end="0"/>
        <w:jc w:val="both"/>
        <w:rPr/>
      </w:pPr>
      <w:r>
        <w:rPr>
          <w:rFonts w:cs="Verdana" w:ascii="Verdana" w:hAnsi="Verdana"/>
          <w:b/>
          <w:bCs/>
          <w:sz w:val="20"/>
          <w:szCs w:val="20"/>
        </w:rPr>
        <w:t>9.7</w:t>
      </w:r>
      <w:r>
        <w:rPr>
          <w:rFonts w:cs="Verdana" w:ascii="Verdana" w:hAnsi="Verdana"/>
          <w:b w:val="false"/>
          <w:bCs w:val="false"/>
          <w:sz w:val="20"/>
          <w:szCs w:val="20"/>
        </w:rPr>
        <w:t>. O pagamento será efetuado no prazo de até 30 (trinta) dias úteis contados da finalização da liquidação da despesa.</w:t>
      </w:r>
    </w:p>
    <w:p>
      <w:pPr>
        <w:pStyle w:val="Normal"/>
        <w:spacing w:lineRule="auto" w:line="240" w:before="57" w:after="57"/>
        <w:ind w:hanging="0" w:start="0" w:end="0"/>
        <w:jc w:val="both"/>
        <w:rPr/>
      </w:pPr>
      <w:r>
        <w:rPr>
          <w:rFonts w:cs="Verdana" w:ascii="Verdana" w:hAnsi="Verdana"/>
          <w:b/>
          <w:bCs/>
          <w:sz w:val="20"/>
          <w:szCs w:val="20"/>
        </w:rPr>
        <w:t>9.8</w:t>
      </w:r>
      <w:r>
        <w:rPr>
          <w:rFonts w:cs="Verdana" w:ascii="Verdana" w:hAnsi="Verdana"/>
          <w:b w:val="false"/>
          <w:bCs w:val="false"/>
          <w:sz w:val="20"/>
          <w:szCs w:val="20"/>
        </w:rPr>
        <w:t>. O pagamento será realizado por meio de ordem bancária, para crédito em banco, agência e conta corrente indicados pelo contratado.</w:t>
      </w:r>
    </w:p>
    <w:p>
      <w:pPr>
        <w:pStyle w:val="Normal"/>
        <w:spacing w:lineRule="auto" w:line="240" w:before="57" w:after="57"/>
        <w:ind w:hanging="0" w:start="0" w:end="0"/>
        <w:jc w:val="both"/>
        <w:rPr/>
      </w:pPr>
      <w:r>
        <w:rPr>
          <w:rFonts w:cs="Verdana" w:ascii="Verdana" w:hAnsi="Verdana"/>
          <w:b/>
          <w:bCs/>
          <w:sz w:val="20"/>
          <w:szCs w:val="20"/>
        </w:rPr>
        <w:t>9.9</w:t>
      </w:r>
      <w:r>
        <w:rPr>
          <w:rFonts w:cs="Verdana" w:ascii="Verdana" w:hAnsi="Verdana"/>
          <w:b w:val="false"/>
          <w:bCs w:val="false"/>
          <w:sz w:val="20"/>
          <w:szCs w:val="20"/>
        </w:rPr>
        <w:t>. Será considerada data do pagamento o dia em que constar como emitida a ordem bancária para pagamento.</w:t>
      </w:r>
    </w:p>
    <w:p>
      <w:pPr>
        <w:pStyle w:val="Normal"/>
        <w:spacing w:lineRule="auto" w:line="240" w:before="57" w:after="57"/>
        <w:ind w:hanging="0" w:start="0" w:end="0"/>
        <w:jc w:val="both"/>
        <w:rPr/>
      </w:pPr>
      <w:r>
        <w:rPr>
          <w:rFonts w:cs="Verdana" w:ascii="Verdana" w:hAnsi="Verdana"/>
          <w:b/>
          <w:bCs/>
          <w:sz w:val="20"/>
          <w:szCs w:val="20"/>
        </w:rPr>
        <w:t>9.10</w:t>
      </w:r>
      <w:r>
        <w:rPr>
          <w:rFonts w:cs="Verdana" w:ascii="Verdana" w:hAnsi="Verdana"/>
          <w:b w:val="false"/>
          <w:bCs w:val="false"/>
          <w:sz w:val="20"/>
          <w:szCs w:val="20"/>
        </w:rPr>
        <w:t>. Quando do pagamento, será efetuada a retenção tributária prevista na legislação aplicável.</w:t>
      </w:r>
    </w:p>
    <w:p>
      <w:pPr>
        <w:pStyle w:val="Normal"/>
        <w:spacing w:lineRule="auto" w:line="240" w:before="57" w:after="57"/>
        <w:ind w:hanging="0" w:start="0" w:end="0"/>
        <w:jc w:val="both"/>
        <w:rPr/>
      </w:pPr>
      <w:r>
        <w:rPr>
          <w:rFonts w:cs="Verdana" w:ascii="Verdana" w:hAnsi="Verdana"/>
          <w:b/>
          <w:bCs/>
          <w:sz w:val="20"/>
          <w:szCs w:val="20"/>
          <w:lang w:eastAsia="en-US"/>
        </w:rPr>
        <w:t>9.11</w:t>
      </w:r>
      <w:r>
        <w:rPr>
          <w:rFonts w:cs="Verdana" w:ascii="Verdana" w:hAnsi="Verdana"/>
          <w:b w:val="false"/>
          <w:bCs w:val="false"/>
          <w:sz w:val="20"/>
          <w:szCs w:val="20"/>
          <w:lang w:eastAsia="en-US"/>
        </w:rPr>
        <w:t xml:space="preserve">. O contratado regularmente optante pelo Simples Nacional, nos termos da </w:t>
      </w:r>
      <w:hyperlink r:id="rId3">
        <w:r>
          <w:rPr>
            <w:rStyle w:val="Hyperlink"/>
            <w:rFonts w:cs="Verdana" w:ascii="Verdana" w:hAnsi="Verdana"/>
            <w:b w:val="false"/>
            <w:bCs w:val="false"/>
            <w:sz w:val="20"/>
            <w:szCs w:val="20"/>
            <w:u w:val="none"/>
            <w:lang w:eastAsia="en-US"/>
          </w:rPr>
          <w:t>Lei Complementar nº 123, de 2006</w:t>
        </w:r>
      </w:hyperlink>
      <w:r>
        <w:rPr>
          <w:rFonts w:cs="Verdana"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before="57" w:after="57"/>
        <w:ind w:hanging="0" w:start="0" w:end="0"/>
        <w:jc w:val="both"/>
        <w:rPr/>
      </w:pPr>
      <w:r>
        <w:rPr>
          <w:rFonts w:cs="Verdana" w:ascii="Verdana" w:hAnsi="Verdana"/>
          <w:b/>
          <w:bCs/>
          <w:sz w:val="20"/>
          <w:szCs w:val="20"/>
          <w:lang w:eastAsia="en-US"/>
        </w:rPr>
        <w:t>9.12</w:t>
      </w:r>
      <w:r>
        <w:rPr>
          <w:rFonts w:cs="Verdana" w:ascii="Verdana" w:hAnsi="Verdana"/>
          <w:b w:val="false"/>
          <w:bCs w:val="false"/>
          <w:sz w:val="20"/>
          <w:szCs w:val="20"/>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before="57" w:after="57"/>
        <w:ind w:hanging="0" w:start="0" w:end="0"/>
        <w:jc w:val="both"/>
        <w:rPr/>
      </w:pPr>
      <w:r>
        <w:rPr>
          <w:rFonts w:eastAsia="Calibri" w:cs="Verdana" w:ascii="Verdana" w:hAnsi="Verdana"/>
          <w:b/>
          <w:bCs/>
          <w:color w:val="000000"/>
          <w:kern w:val="0"/>
          <w:sz w:val="20"/>
          <w:szCs w:val="20"/>
          <w:shd w:fill="auto" w:val="clear"/>
          <w:lang w:val="pt-BR" w:eastAsia="pt-BR" w:bidi="ar-SA"/>
        </w:rPr>
        <w:t>9.13</w:t>
      </w:r>
      <w:r>
        <w:rPr>
          <w:rFonts w:eastAsia="Calibri"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sz w:val="20"/>
          <w:szCs w:val="20"/>
          <w:shd w:fill="auto" w:val="clear"/>
        </w:rPr>
        <w:t>Após o prazo acima referenciado, será paga multa financeira nos seguintes termos:</w:t>
      </w:r>
    </w:p>
    <w:p>
      <w:pPr>
        <w:pStyle w:val="PargrafodaLista"/>
        <w:tabs>
          <w:tab w:val="clear" w:pos="708"/>
          <w:tab w:val="left" w:pos="518" w:leader="none"/>
        </w:tabs>
        <w:spacing w:lineRule="auto" w:line="240" w:before="57" w:after="57"/>
        <w:ind w:hanging="0" w:start="0" w:end="0"/>
        <w:contextualSpacing w:val="false"/>
        <w:jc w:val="center"/>
        <w:rPr/>
      </w:pPr>
      <w:r>
        <w:rPr>
          <w:rFonts w:cs="Verdana" w:ascii="Verdana" w:hAnsi="Verdana"/>
          <w:b w:val="false"/>
          <w:bCs w:val="false"/>
          <w:sz w:val="20"/>
          <w:szCs w:val="20"/>
          <w:shd w:fill="auto" w:val="clear"/>
        </w:rPr>
        <w:t xml:space="preserve">VM = VF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w:t>
      </w:r>
      <w:r>
        <w:rPr>
          <w:rFonts w:cs="Verdana" w:ascii="Verdana" w:hAnsi="Verdana"/>
          <w:b w:val="false"/>
          <w:bCs w:val="false"/>
          <w:sz w:val="20"/>
          <w:szCs w:val="20"/>
          <w:u w:val="single"/>
          <w:shd w:fill="auto" w:val="clear"/>
        </w:rPr>
        <w:t>0,33</w:t>
      </w:r>
      <w:r>
        <w:rPr>
          <w:rFonts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ND</w:t>
      </w:r>
    </w:p>
    <w:p>
      <w:pPr>
        <w:pStyle w:val="PargrafodaLista"/>
        <w:tabs>
          <w:tab w:val="clear" w:pos="708"/>
          <w:tab w:val="left" w:pos="518" w:leader="none"/>
        </w:tabs>
        <w:spacing w:lineRule="auto" w:line="240" w:before="57" w:after="57"/>
        <w:ind w:hanging="0" w:start="0" w:end="0"/>
        <w:contextualSpacing w:val="false"/>
        <w:jc w:val="center"/>
        <w:rPr/>
      </w:pPr>
      <w:r>
        <w:rPr>
          <w:rFonts w:eastAsia="Verdana"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rPr>
        <w:t>100</w:t>
      </w:r>
    </w:p>
    <w:p>
      <w:pPr>
        <w:pStyle w:val="Normal"/>
        <w:suppressAutoHyphens w:val="false"/>
        <w:spacing w:lineRule="auto" w:line="240" w:before="57" w:after="57"/>
        <w:ind w:hanging="0" w:start="0"/>
        <w:rPr/>
      </w:pPr>
      <w:r>
        <w:rPr>
          <w:rFonts w:cs="Verdana" w:ascii="Verdana" w:hAnsi="Verdana"/>
          <w:b w:val="false"/>
          <w:bCs w:val="false"/>
          <w:color w:val="000000"/>
          <w:sz w:val="20"/>
          <w:szCs w:val="20"/>
          <w:shd w:fill="auto" w:val="clear"/>
        </w:rPr>
        <w:t xml:space="preserve">Onde: </w:t>
      </w:r>
    </w:p>
    <w:p>
      <w:pPr>
        <w:pStyle w:val="Normal"/>
        <w:suppressAutoHyphens w:val="false"/>
        <w:spacing w:lineRule="auto" w:line="240" w:before="57" w:after="57"/>
        <w:ind w:hanging="0" w:start="0"/>
        <w:rPr/>
      </w:pPr>
      <w:r>
        <w:rPr>
          <w:rFonts w:cs="Verdana" w:ascii="Verdana" w:hAnsi="Verdana"/>
          <w:color w:val="000000"/>
          <w:sz w:val="20"/>
          <w:szCs w:val="20"/>
          <w:shd w:fill="auto" w:val="clear"/>
        </w:rPr>
        <w:t xml:space="preserve">VM = Valor da Multa Financeira; </w:t>
      </w:r>
    </w:p>
    <w:p>
      <w:pPr>
        <w:pStyle w:val="Normal"/>
        <w:suppressAutoHyphens w:val="false"/>
        <w:spacing w:lineRule="auto" w:line="240" w:before="57" w:after="57"/>
        <w:ind w:hanging="0" w:start="0"/>
        <w:rPr/>
      </w:pPr>
      <w:r>
        <w:rPr>
          <w:rFonts w:cs="Verdana" w:ascii="Verdana" w:hAnsi="Verdana"/>
          <w:color w:val="000000"/>
          <w:sz w:val="20"/>
          <w:szCs w:val="20"/>
          <w:shd w:fill="auto" w:val="clear"/>
        </w:rPr>
        <w:t xml:space="preserve">VF = Valor da Nota Fiscal; </w:t>
      </w:r>
    </w:p>
    <w:p>
      <w:pPr>
        <w:pStyle w:val="PargrafodaLista"/>
        <w:tabs>
          <w:tab w:val="clear" w:pos="708"/>
          <w:tab w:val="left" w:pos="518" w:leader="none"/>
        </w:tabs>
        <w:spacing w:lineRule="auto" w:line="240" w:before="57" w:after="57"/>
        <w:ind w:hanging="0" w:start="0" w:end="0"/>
        <w:contextualSpacing w:val="false"/>
        <w:rPr/>
      </w:pPr>
      <w:r>
        <w:rPr>
          <w:rFonts w:eastAsia="Times New Roman" w:cs="Verdana" w:ascii="Verdana" w:hAnsi="Verdana"/>
          <w:color w:val="000000"/>
          <w:sz w:val="20"/>
          <w:szCs w:val="20"/>
          <w:shd w:fill="auto" w:val="clear"/>
        </w:rPr>
        <w:t>ND = Número de dias em atraso.</w:t>
      </w:r>
    </w:p>
    <w:p>
      <w:pPr>
        <w:pStyle w:val="PargrafodaLista"/>
        <w:tabs>
          <w:tab w:val="clear" w:pos="708"/>
          <w:tab w:val="left" w:pos="518" w:leader="none"/>
        </w:tabs>
        <w:spacing w:lineRule="auto" w:line="240" w:before="57" w:after="57"/>
        <w:ind w:hanging="0" w:start="0" w:end="0"/>
        <w:contextualSpacing w:val="false"/>
        <w:jc w:val="both"/>
        <w:rPr/>
      </w:pPr>
      <w:r>
        <w:rPr>
          <w:rFonts w:eastAsia="Times New Roman" w:cs="Verdana" w:ascii="Verdana" w:hAnsi="Verdana"/>
          <w:b/>
          <w:bCs/>
          <w:color w:val="000000"/>
          <w:kern w:val="0"/>
          <w:sz w:val="20"/>
          <w:szCs w:val="20"/>
          <w:shd w:fill="auto" w:val="clear"/>
          <w:lang w:val="pt-BR" w:eastAsia="pt-BR" w:bidi="ar-SA"/>
        </w:rPr>
        <w:t>9.14</w:t>
      </w:r>
      <w:r>
        <w:rPr>
          <w:rFonts w:eastAsia="Times New Roman"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color w:val="000000"/>
          <w:sz w:val="20"/>
          <w:szCs w:val="20"/>
          <w:shd w:fill="auto" w:val="clear"/>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40" w:before="57" w:after="57"/>
        <w:ind w:hanging="0" w:start="0" w:end="0"/>
        <w:contextualSpacing w:val="false"/>
        <w:jc w:val="both"/>
        <w:rPr/>
      </w:pPr>
      <w:r>
        <w:rPr>
          <w:rFonts w:eastAsia="Times New Roman" w:cs="Verdana" w:ascii="Verdana" w:hAnsi="Verdana"/>
          <w:b/>
          <w:bCs/>
          <w:color w:val="000000"/>
          <w:kern w:val="0"/>
          <w:sz w:val="20"/>
          <w:szCs w:val="20"/>
          <w:shd w:fill="auto" w:val="clear"/>
          <w:lang w:val="pt-BR" w:eastAsia="pt-BR" w:bidi="ar-SA"/>
        </w:rPr>
        <w:t>9.15</w:t>
      </w:r>
      <w:r>
        <w:rPr>
          <w:rFonts w:eastAsia="Times New Roman" w:cs="Verdana" w:ascii="Verdana" w:hAnsi="Verdana"/>
          <w:b w:val="false"/>
          <w:bCs w:val="false"/>
          <w:color w:val="000000"/>
          <w:kern w:val="0"/>
          <w:sz w:val="20"/>
          <w:szCs w:val="20"/>
          <w:shd w:fill="auto" w:val="clear"/>
          <w:lang w:val="pt-BR" w:eastAsia="pt-BR" w:bidi="ar-SA"/>
        </w:rPr>
        <w:t>.</w:t>
      </w:r>
      <w:r>
        <w:rPr>
          <w:rFonts w:cs="Verdana" w:ascii="Verdana" w:hAnsi="Verdana"/>
          <w:b w:val="false"/>
          <w:bCs w:val="false"/>
          <w:color w:val="000000"/>
          <w:sz w:val="20"/>
          <w:szCs w:val="20"/>
          <w:shd w:fill="auto" w:val="clear"/>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before="57" w:after="57"/>
        <w:ind w:hanging="0" w:start="0"/>
        <w:jc w:val="both"/>
        <w:rPr/>
      </w:pPr>
      <w:r>
        <w:rPr>
          <w:rFonts w:eastAsia="Times New Roman" w:cs="Verdana" w:ascii="Verdana" w:hAnsi="Verdana"/>
          <w:b/>
          <w:bCs/>
          <w:color w:val="000000"/>
          <w:kern w:val="0"/>
          <w:sz w:val="20"/>
          <w:szCs w:val="20"/>
          <w:shd w:fill="auto" w:val="clear"/>
          <w:lang w:val="pt-BR" w:eastAsia="pt-BR" w:bidi="ar-SA"/>
        </w:rPr>
        <w:t>9.16</w:t>
      </w:r>
      <w:r>
        <w:rPr>
          <w:rFonts w:eastAsia="Times New Roman"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color w:val="000000"/>
          <w:sz w:val="20"/>
          <w:szCs w:val="20"/>
          <w:shd w:fill="auto" w:val="clear"/>
        </w:rPr>
        <w:t>O CONTRATANTE poderá deduzir do pagamento importâncias que a qualquer título lhe forem devidos pela empresa CONTRATADA, em decorrência de descumprimento de s</w:t>
      </w:r>
      <w:r>
        <w:rPr>
          <w:rFonts w:cs="Verdana" w:ascii="Verdana" w:hAnsi="Verdana"/>
          <w:color w:val="000000"/>
          <w:sz w:val="20"/>
          <w:szCs w:val="20"/>
          <w:shd w:fill="auto" w:val="clear"/>
        </w:rPr>
        <w:t>uas obrigações.</w:t>
      </w:r>
    </w:p>
    <w:p>
      <w:pPr>
        <w:pStyle w:val="Normal"/>
        <w:spacing w:lineRule="auto" w:line="240" w:before="57" w:after="57"/>
        <w:ind w:hanging="0" w:start="0" w:end="0"/>
        <w:jc w:val="both"/>
        <w:rPr/>
      </w:pPr>
      <w:r>
        <w:rPr>
          <w:rFonts w:eastAsia="Times New Roman" w:cs="Verdana" w:ascii="Verdana" w:hAnsi="Verdana"/>
          <w:b/>
          <w:bCs/>
          <w:iCs/>
          <w:color w:val="000000"/>
          <w:kern w:val="0"/>
          <w:sz w:val="20"/>
          <w:szCs w:val="20"/>
          <w:u w:val="none"/>
          <w:shd w:fill="auto" w:val="clear"/>
          <w:lang w:val="pt-BR" w:eastAsia="zh-CN" w:bidi="ar-SA"/>
        </w:rPr>
        <w:t>9.17</w:t>
      </w:r>
      <w:r>
        <w:rPr>
          <w:rFonts w:eastAsia="Times New Roman" w:cs="Verdana" w:ascii="Verdana" w:hAnsi="Verdana"/>
          <w:b w:val="false"/>
          <w:bCs w:val="false"/>
          <w:iCs/>
          <w:color w:val="000000"/>
          <w:kern w:val="0"/>
          <w:sz w:val="20"/>
          <w:szCs w:val="20"/>
          <w:u w:val="none"/>
          <w:shd w:fill="auto" w:val="clear"/>
          <w:lang w:val="pt-BR" w:eastAsia="zh-CN" w:bidi="ar-SA"/>
        </w:rPr>
        <w:t xml:space="preserve">. </w:t>
      </w:r>
      <w:r>
        <w:rPr>
          <w:rFonts w:cs="Verdana" w:ascii="Verdana" w:hAnsi="Verdana"/>
          <w:b w:val="false"/>
          <w:bCs w:val="false"/>
          <w:iCs/>
          <w:sz w:val="20"/>
          <w:szCs w:val="20"/>
          <w:u w:val="none"/>
          <w:shd w:fill="auto" w:val="clear"/>
          <w:lang w:eastAsia="en-US"/>
        </w:rPr>
        <w:t xml:space="preserve">Para a efetivação do pagamento, a CONTRATADA deverá manter as </w:t>
      </w:r>
      <w:r>
        <w:rPr>
          <w:rFonts w:cs="Verdana" w:ascii="Verdana" w:hAnsi="Verdana"/>
          <w:b w:val="false"/>
          <w:bCs w:val="false"/>
          <w:iCs/>
          <w:sz w:val="20"/>
          <w:szCs w:val="20"/>
          <w:u w:val="none"/>
          <w:shd w:fill="auto" w:val="clear"/>
          <w:lang w:eastAsia="pt-BR"/>
        </w:rPr>
        <w:t>condições relativas à proposta de preço e a habilitação;</w:t>
      </w:r>
    </w:p>
    <w:p>
      <w:pPr>
        <w:pStyle w:val="Normal"/>
        <w:spacing w:lineRule="auto" w:line="240" w:before="57" w:after="57"/>
        <w:ind w:hanging="0" w:start="0" w:end="0"/>
        <w:jc w:val="both"/>
        <w:rPr>
          <w:rFonts w:ascii="Verdana" w:hAnsi="Verdana" w:cs="Verdana"/>
          <w:b w:val="false"/>
          <w:bCs w:val="false"/>
          <w:sz w:val="20"/>
          <w:szCs w:val="20"/>
          <w:u w:val="single"/>
        </w:rPr>
      </w:pPr>
      <w:r>
        <w:rPr>
          <w:rFonts w:cs="Verdana" w:ascii="Verdana" w:hAnsi="Verdana"/>
          <w:b w:val="false"/>
          <w:bCs w:val="false"/>
          <w:sz w:val="20"/>
          <w:szCs w:val="20"/>
          <w:u w:val="single"/>
        </w:rPr>
      </w:r>
    </w:p>
    <w:p>
      <w:pPr>
        <w:pStyle w:val="Normal"/>
        <w:spacing w:lineRule="auto" w:line="240" w:before="57" w:after="57"/>
        <w:ind w:hanging="0" w:start="0" w:end="0"/>
        <w:jc w:val="both"/>
        <w:rPr/>
      </w:pPr>
      <w:r>
        <w:rPr>
          <w:rFonts w:cs="Verdana" w:ascii="Verdana" w:hAnsi="Verdana"/>
          <w:b/>
          <w:sz w:val="20"/>
          <w:szCs w:val="20"/>
          <w:u w:val="single"/>
        </w:rPr>
        <w:t>CLÁUSULA DÉCIMA – DA DOTAÇÃO</w:t>
      </w:r>
    </w:p>
    <w:p>
      <w:pPr>
        <w:pStyle w:val="Normal"/>
        <w:spacing w:lineRule="auto" w:line="240" w:before="57" w:after="57"/>
        <w:ind w:hanging="0" w:start="0" w:end="0"/>
        <w:jc w:val="both"/>
        <w:rPr/>
      </w:pPr>
      <w:r>
        <w:rPr>
          <w:rFonts w:eastAsia="Batang;바탕" w:cs="Verdana" w:ascii="Verdana" w:hAnsi="Verdana"/>
          <w:b/>
          <w:bCs/>
          <w:sz w:val="20"/>
          <w:szCs w:val="20"/>
          <w:u w:val="single"/>
        </w:rPr>
        <w:t xml:space="preserve">10.1. </w:t>
      </w:r>
      <w:r>
        <w:rPr>
          <w:rFonts w:eastAsia="Batang;바탕" w:cs="Verdana" w:ascii="Verdana" w:hAnsi="Verdana"/>
          <w:i/>
          <w:sz w:val="20"/>
          <w:szCs w:val="20"/>
          <w:u w:val="single"/>
        </w:rPr>
        <w:t>Por se tratar de processo de seleção de fornecedores para posterior contratação e aquisição através de Registro de Preços, na forma do Art. 40 da Lei Federal nº 14.133/2021 e Decreto Municipal nº 3.609/2023, de 28 de junho de 2023, a dotação será indicada por ocasião da aquisição</w:t>
      </w:r>
      <w:r>
        <w:rPr>
          <w:rFonts w:cs="Verdana" w:ascii="Verdana" w:hAnsi="Verdana"/>
          <w:i/>
          <w:sz w:val="20"/>
          <w:szCs w:val="20"/>
          <w:u w:val="single"/>
        </w:rPr>
        <w:t>.</w:t>
      </w:r>
    </w:p>
    <w:p>
      <w:pPr>
        <w:pStyle w:val="Normal"/>
        <w:spacing w:lineRule="auto" w:line="240" w:before="57" w:after="57"/>
        <w:ind w:hanging="0" w:start="0" w:end="0"/>
        <w:jc w:val="both"/>
        <w:rPr>
          <w:rFonts w:ascii="Verdana" w:hAnsi="Verdana"/>
          <w:sz w:val="20"/>
          <w:szCs w:val="20"/>
        </w:rPr>
      </w:pPr>
      <w:r>
        <w:rPr>
          <w:rFonts w:ascii="Verdana" w:hAnsi="Verdana"/>
          <w:sz w:val="20"/>
          <w:szCs w:val="20"/>
        </w:rPr>
      </w:r>
    </w:p>
    <w:p>
      <w:pPr>
        <w:pStyle w:val="Normal"/>
        <w:spacing w:lineRule="auto" w:line="240" w:before="57" w:after="57"/>
        <w:ind w:hanging="0" w:start="0" w:end="0"/>
        <w:jc w:val="both"/>
        <w:rPr/>
      </w:pPr>
      <w:r>
        <w:rPr>
          <w:rFonts w:cs="Verdana" w:ascii="Verdana" w:hAnsi="Verdana"/>
          <w:b/>
          <w:sz w:val="20"/>
          <w:szCs w:val="20"/>
          <w:u w:val="single"/>
        </w:rPr>
        <w:t>CLÁUSULA DÉCIMA PRIMEIRA – DAS OBRIGAÇÕES DO FORNECEDOR</w:t>
      </w:r>
    </w:p>
    <w:p>
      <w:pPr>
        <w:pStyle w:val="PargrafodaLista"/>
        <w:widowControl/>
        <w:suppressAutoHyphens w:val="true"/>
        <w:bidi w:val="0"/>
        <w:spacing w:lineRule="auto" w:line="240" w:before="57" w:after="57"/>
        <w:ind w:hanging="0" w:start="0" w:end="0"/>
        <w:contextualSpacing w:val="false"/>
        <w:jc w:val="both"/>
        <w:rPr/>
      </w:pPr>
      <w:r>
        <w:rPr>
          <w:rFonts w:cs="Verdana" w:ascii="Verdana" w:hAnsi="Verdana"/>
          <w:b/>
          <w:bCs/>
          <w:color w:val="000000"/>
          <w:sz w:val="20"/>
          <w:szCs w:val="20"/>
        </w:rPr>
        <w:t xml:space="preserve">11.1 </w:t>
      </w:r>
      <w:r>
        <w:rPr>
          <w:rFonts w:cs="Verdana" w:ascii="Verdana" w:hAnsi="Verdana"/>
          <w:b/>
          <w:bCs/>
          <w:iCs/>
          <w:color w:val="000000"/>
          <w:sz w:val="20"/>
          <w:szCs w:val="20"/>
          <w:lang w:eastAsia="en-US"/>
        </w:rPr>
        <w:t>Entregar o objeto de forma pessoal ou por pessoa (física ou jurídica) na qualidade de seu representante direto, não podendo transferir a terceiros, nem mesmo à Empresa Brasileira de Correios e Telégrafos, a sua execução.</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 xml:space="preserve">.1.1. Valendo-se a CONTRATADA de terceiros para efetuar a entrega dos equipamentos, o CONTRATANTE, por meio </w:t>
      </w:r>
      <w:r>
        <w:rPr>
          <w:rFonts w:eastAsia="Times New Roman" w:cs="Verdana" w:ascii="Verdana" w:hAnsi="Verdana"/>
          <w:iCs/>
          <w:color w:val="000000"/>
          <w:sz w:val="20"/>
          <w:szCs w:val="20"/>
          <w:lang w:eastAsia="en-US"/>
        </w:rPr>
        <w:t>de representante</w:t>
      </w:r>
      <w:r>
        <w:rPr>
          <w:rFonts w:cs="Verdana" w:ascii="Verdana" w:hAnsi="Verdana"/>
          <w:iCs/>
          <w:color w:val="000000"/>
          <w:sz w:val="20"/>
          <w:szCs w:val="20"/>
          <w:lang w:eastAsia="en-US"/>
        </w:rPr>
        <w:t>, poderá recusar o recebimento, sem exclusão das sanções cabíveis.</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.2. Respeitar os prazos, condições e especificações estabelecidas neste Termo de</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Referência.</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.3. Entregar os equipamentos acondicionados em embalagens originais, devidamente identificadas e lacradas.</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.4. Fazer acompanhar o respectivo manual do usuário dos equipamentos com uma versão em português.</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.5. Responsabilizar-se por eventuais danos causados aos equipamentos nos procedimentos de transporte, guarda e entrega.</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.6. Comunicar, no prazo mínimo de 48 (quarenta e oito) horas de antecedência, a ocorrência de casos fortuitos que impeçam ou atrasem a execução do estabelecido neste Termo de Referência, no tocante à entrega dos equipamentos.</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11</w:t>
      </w:r>
      <w:r>
        <w:rPr>
          <w:rFonts w:cs="Verdana" w:ascii="Verdana" w:hAnsi="Verdana"/>
          <w:iCs/>
          <w:color w:val="000000"/>
          <w:sz w:val="20"/>
          <w:szCs w:val="20"/>
          <w:lang w:eastAsia="en-US"/>
        </w:rPr>
        <w:t>.7. Responsabilizar-se pelos custos referentes ao transporte e guarda dos equipamentos antes de sua entrega no local indicado.</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11</w:t>
      </w:r>
      <w:r>
        <w:rPr>
          <w:rFonts w:cs="Verdana" w:ascii="Verdana" w:hAnsi="Verdana"/>
          <w:iCs/>
          <w:color w:val="000000"/>
          <w:sz w:val="20"/>
          <w:szCs w:val="20"/>
          <w:lang w:eastAsia="en-US"/>
        </w:rPr>
        <w:t>.8. Manter-se, durante a vigência do contrato, todas as condições exigidas para habilitação, em observância à legislação vigente.</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11</w:t>
      </w:r>
      <w:r>
        <w:rPr>
          <w:rFonts w:cs="Verdana" w:ascii="Verdana" w:hAnsi="Verdana"/>
          <w:iCs/>
          <w:color w:val="000000"/>
          <w:sz w:val="20"/>
          <w:szCs w:val="20"/>
          <w:lang w:eastAsia="en-US"/>
        </w:rPr>
        <w:t>.9. Prestar esclarecimentos técnicos à secretaria requisitante no que se refere ao objeto da aquisição, sempre que solicitada.</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11</w:t>
      </w:r>
      <w:r>
        <w:rPr>
          <w:rFonts w:cs="Verdana" w:ascii="Verdana" w:hAnsi="Verdana"/>
          <w:iCs/>
          <w:color w:val="000000"/>
          <w:sz w:val="20"/>
          <w:szCs w:val="20"/>
          <w:lang w:eastAsia="en-US"/>
        </w:rPr>
        <w:t>.10. Responsabilizar-se integralmente pelos encargos trabalhistas, previdenciários, fiscais, comerciais e de responsabilidade civil, bem como outros encargos, taxas e impostos decorrentes da execução do contrato.</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11</w:t>
      </w:r>
      <w:r>
        <w:rPr>
          <w:rFonts w:cs="Verdana" w:ascii="Verdana" w:hAnsi="Verdana"/>
          <w:iCs/>
          <w:color w:val="000000"/>
          <w:sz w:val="20"/>
          <w:szCs w:val="20"/>
          <w:lang w:eastAsia="en-US"/>
        </w:rPr>
        <w:t xml:space="preserve">.11. Apresentar à </w:t>
      </w:r>
      <w:r>
        <w:rPr>
          <w:rFonts w:eastAsia="Times New Roman" w:cs="Verdana" w:ascii="Verdana" w:hAnsi="Verdana"/>
          <w:iCs/>
          <w:color w:val="000000"/>
          <w:sz w:val="20"/>
          <w:szCs w:val="20"/>
          <w:lang w:eastAsia="en-US"/>
        </w:rPr>
        <w:t>requisitante</w:t>
      </w:r>
      <w:r>
        <w:rPr>
          <w:rFonts w:cs="Verdana" w:ascii="Verdana" w:hAnsi="Verdana"/>
          <w:iCs/>
          <w:color w:val="000000"/>
          <w:sz w:val="20"/>
          <w:szCs w:val="20"/>
          <w:lang w:eastAsia="en-US"/>
        </w:rPr>
        <w:t>, inclusive para fins de liberação do pagamento, notas fiscais de todos os equipamentos.</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11</w:t>
      </w:r>
      <w:r>
        <w:rPr>
          <w:rFonts w:cs="Verdana" w:ascii="Verdana" w:hAnsi="Verdana"/>
          <w:iCs/>
          <w:color w:val="000000"/>
          <w:sz w:val="20"/>
          <w:szCs w:val="20"/>
          <w:lang w:eastAsia="en-US"/>
        </w:rPr>
        <w:t>.12.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11</w:t>
      </w:r>
      <w:r>
        <w:rPr>
          <w:rFonts w:cs="Verdana" w:ascii="Verdana" w:hAnsi="Verdana"/>
          <w:iCs/>
          <w:color w:val="000000"/>
          <w:sz w:val="20"/>
          <w:szCs w:val="20"/>
          <w:lang w:eastAsia="en-US"/>
        </w:rPr>
        <w:t>.13. 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b w:val="false"/>
          <w:bCs w:val="false"/>
          <w:i w:val="false"/>
          <w:iCs/>
          <w:color w:val="000000"/>
          <w:sz w:val="20"/>
          <w:szCs w:val="20"/>
          <w:u w:val="none"/>
          <w:shd w:fill="auto" w:val="clear"/>
          <w:lang w:eastAsia="en-US"/>
        </w:rPr>
        <w:t>11</w:t>
      </w:r>
      <w:r>
        <w:rPr>
          <w:rFonts w:cs="Verdana" w:ascii="Verdana" w:hAnsi="Verdana"/>
          <w:b w:val="false"/>
          <w:bCs w:val="false"/>
          <w:i w:val="false"/>
          <w:iCs/>
          <w:color w:val="000000"/>
          <w:sz w:val="20"/>
          <w:szCs w:val="20"/>
          <w:u w:val="none"/>
          <w:shd w:fill="auto" w:val="clear"/>
          <w:lang w:eastAsia="en-US"/>
        </w:rPr>
        <w:t>.14. Que os bens devam ser, preferencialmente, acondicionados em embalagem individual adequada, com o menor volume possível, que utilize materiais recicláveis, de forma a garantir a máxima proteção durante o transporte e o armazenamento.</w:t>
      </w:r>
    </w:p>
    <w:p>
      <w:pPr>
        <w:pStyle w:val="PargrafodaLista"/>
        <w:widowControl w:val="false"/>
        <w:spacing w:lineRule="auto" w:line="240" w:before="57" w:after="57"/>
        <w:ind w:hanging="0" w:start="0" w:end="0"/>
        <w:contextualSpacing w:val="false"/>
        <w:jc w:val="both"/>
        <w:rPr>
          <w:rFonts w:ascii="Verdana" w:hAnsi="Verdana" w:cs="Verdana"/>
          <w:b/>
          <w:color w:val="000000"/>
          <w:sz w:val="20"/>
          <w:szCs w:val="20"/>
          <w:u w:val="single"/>
        </w:rPr>
      </w:pPr>
      <w:r>
        <w:rPr>
          <w:rFonts w:cs="Verdana" w:ascii="Verdana" w:hAnsi="Verdana"/>
          <w:b/>
          <w:color w:val="000000"/>
          <w:sz w:val="20"/>
          <w:szCs w:val="20"/>
          <w:u w:val="single"/>
        </w:rPr>
      </w:r>
    </w:p>
    <w:p>
      <w:pPr>
        <w:pStyle w:val="PargrafodaLista"/>
        <w:widowControl w:val="false"/>
        <w:spacing w:lineRule="auto" w:line="240" w:before="57" w:after="57"/>
        <w:ind w:hanging="0" w:start="0" w:end="0"/>
        <w:contextualSpacing w:val="false"/>
        <w:jc w:val="both"/>
        <w:rPr/>
      </w:pPr>
      <w:r>
        <w:rPr>
          <w:rFonts w:cs="Verdana" w:ascii="Verdana" w:hAnsi="Verdana"/>
          <w:b/>
          <w:sz w:val="20"/>
          <w:szCs w:val="20"/>
          <w:u w:val="single"/>
        </w:rPr>
        <w:t>CLÁUSULA DÉCIMA SEGUNDA – DAS OBRIGAÇÕES DA PREFEITURA DE SÃO GABRIEL DA PALHA-ES</w:t>
      </w:r>
    </w:p>
    <w:p>
      <w:pPr>
        <w:pStyle w:val="Normal"/>
        <w:spacing w:lineRule="auto" w:line="240" w:before="57" w:after="57"/>
        <w:ind w:hanging="0" w:start="0" w:end="0"/>
        <w:jc w:val="both"/>
        <w:rPr/>
      </w:pPr>
      <w:r>
        <w:rPr>
          <w:rFonts w:cs="Verdana" w:ascii="Verdana" w:hAnsi="Verdana"/>
          <w:b/>
          <w:bCs/>
          <w:color w:val="000000"/>
          <w:sz w:val="20"/>
          <w:szCs w:val="20"/>
        </w:rPr>
        <w:t xml:space="preserve">12.1. </w:t>
      </w:r>
      <w:r>
        <w:rPr>
          <w:rFonts w:cs="Verdana" w:ascii="Verdana" w:hAnsi="Verdana"/>
          <w:b/>
          <w:bCs/>
          <w:iCs/>
          <w:color w:val="000000"/>
          <w:sz w:val="20"/>
          <w:szCs w:val="20"/>
          <w:lang w:eastAsia="en-US"/>
        </w:rPr>
        <w:t>Cumprir todos os compromissos financeiros assumidos com a CONTRATADA.</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.2. Comunicar à CONTRATADA toda e qualquer situação que fuja ao fiel cumprimento deste Termo de Referência pela mesma, dando, sempre que possível, orientações para sanar quaisquer vícios.</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.3. Emitir notificação, no prazo de 5 (cinco) dias úteis, contados a partir da ciência do fato, sobre ocorrência de irregularidades na execução do contrato ou entrega, convocando a CONTRATADA para sanar tais irregularidades.</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.4. Receber e avaliar o objeto, pronunciando-se acerca do atendimento ou não das especificações estabelecidas neste Termo de Referência.</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.5. Atuar de forma ampla e completa no acompanhamento da execução do objeto.</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.6. Prestar, por meio da Assessoria de Comunicação, esclarecimentos e informações necessárias à CONTRATADA no sentido de contribuir com a mesma para a plena execução do objeto.</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12</w:t>
      </w:r>
      <w:r>
        <w:rPr>
          <w:rFonts w:cs="Verdana" w:ascii="Verdana" w:hAnsi="Verdana"/>
          <w:iCs/>
          <w:color w:val="000000"/>
          <w:sz w:val="20"/>
          <w:szCs w:val="20"/>
          <w:lang w:eastAsia="en-US"/>
        </w:rPr>
        <w:t>.7. Atestar nota fiscal/fatura mensal em concordância com o fornecimento dos equipamentos e as condições estabelecidas no contrato, a fim de que seja efetuado o devido pagamento pelo setor.</w:t>
      </w:r>
    </w:p>
    <w:p>
      <w:pPr>
        <w:pStyle w:val="Normal"/>
        <w:tabs>
          <w:tab w:val="clear" w:pos="708"/>
          <w:tab w:val="left" w:pos="850" w:leader="none"/>
        </w:tabs>
        <w:spacing w:lineRule="auto" w:line="240" w:before="57" w:after="57"/>
        <w:ind w:hanging="0" w:start="-79" w:end="0"/>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.8. Fiscalizar o cumprimento das obrigações assumidas pela CONTRATADA.</w:t>
      </w:r>
    </w:p>
    <w:p>
      <w:pPr>
        <w:pStyle w:val="Normal"/>
        <w:widowControl/>
        <w:tabs>
          <w:tab w:val="clear" w:pos="708"/>
          <w:tab w:val="left" w:pos="850" w:leader="none"/>
        </w:tabs>
        <w:suppressAutoHyphens w:val="true"/>
        <w:overflowPunct w:val="false"/>
        <w:bidi w:val="0"/>
        <w:spacing w:lineRule="auto" w:line="240" w:before="57" w:after="57"/>
        <w:ind w:hanging="0" w:start="-57" w:end="-57"/>
        <w:jc w:val="both"/>
        <w:rPr>
          <w:sz w:val="20"/>
          <w:szCs w:val="20"/>
        </w:rPr>
      </w:pPr>
      <w:r>
        <w:rPr>
          <w:rFonts w:eastAsia="Times New Roman" w:cs="Verdana" w:ascii="Verdana" w:hAnsi="Verdana"/>
          <w:iCs/>
          <w:color w:val="000000"/>
          <w:sz w:val="20"/>
          <w:szCs w:val="20"/>
          <w:lang w:eastAsia="en-US"/>
        </w:rPr>
        <w:t>12</w:t>
      </w:r>
      <w:r>
        <w:rPr>
          <w:rFonts w:cs="Verdana" w:ascii="Verdana" w:hAnsi="Verdana"/>
          <w:iCs/>
          <w:color w:val="000000"/>
          <w:sz w:val="20"/>
          <w:szCs w:val="20"/>
          <w:lang w:eastAsia="en-US"/>
        </w:rPr>
        <w:t>.9. Efetuar, por escrito, solicitação de reparo/troca à CONTRATADA quando ocorrer</w:t>
      </w:r>
    </w:p>
    <w:p>
      <w:pPr>
        <w:pStyle w:val="Normal"/>
        <w:tabs>
          <w:tab w:val="clear" w:pos="708"/>
          <w:tab w:val="left" w:pos="850" w:leader="none"/>
        </w:tabs>
        <w:spacing w:lineRule="auto" w:line="240" w:before="57" w:after="57"/>
        <w:ind w:hanging="0" w:start="-79" w:end="0"/>
        <w:jc w:val="both"/>
        <w:rPr>
          <w:sz w:val="20"/>
          <w:szCs w:val="20"/>
        </w:rPr>
      </w:pPr>
      <w:r>
        <w:rPr>
          <w:rFonts w:cs="Verdana" w:ascii="Verdana" w:hAnsi="Verdana"/>
          <w:iCs/>
          <w:color w:val="000000"/>
          <w:sz w:val="20"/>
          <w:szCs w:val="20"/>
          <w:lang w:eastAsia="en-US"/>
        </w:rPr>
        <w:t>defeito, dentro do prazo da garantia estipulada.</w:t>
      </w:r>
    </w:p>
    <w:p>
      <w:pPr>
        <w:pStyle w:val="Normal"/>
        <w:tabs>
          <w:tab w:val="clear" w:pos="708"/>
          <w:tab w:val="left" w:pos="850" w:leader="none"/>
        </w:tabs>
        <w:spacing w:lineRule="auto" w:line="240" w:before="57" w:after="57"/>
        <w:ind w:hanging="0" w:start="-79" w:end="0"/>
        <w:jc w:val="both"/>
        <w:rPr>
          <w:sz w:val="20"/>
          <w:szCs w:val="20"/>
          <w:u w:val="none"/>
        </w:rPr>
      </w:pPr>
      <w:r>
        <w:rPr>
          <w:rFonts w:cs="Verdana" w:ascii="Verdana" w:hAnsi="Verdana"/>
          <w:b w:val="false"/>
          <w:bCs w:val="false"/>
          <w:i w:val="false"/>
          <w:iCs w:val="false"/>
          <w:color w:val="000000"/>
          <w:sz w:val="20"/>
          <w:szCs w:val="20"/>
          <w:u w:val="none"/>
          <w:lang w:eastAsia="en-US"/>
        </w:rPr>
        <w:t>12</w:t>
      </w:r>
      <w:r>
        <w:rPr>
          <w:rFonts w:cs="Verdana" w:ascii="Verdana" w:hAnsi="Verdana"/>
          <w:b w:val="false"/>
          <w:bCs w:val="false"/>
          <w:i w:val="false"/>
          <w:iCs w:val="false"/>
          <w:color w:val="000000"/>
          <w:sz w:val="20"/>
          <w:szCs w:val="20"/>
          <w:u w:val="none"/>
          <w:lang w:eastAsia="en-US"/>
        </w:rPr>
        <w:t>.10. O CONTRATANTE não responderá por quaisquer compromissos assumidos pela</w:t>
      </w:r>
    </w:p>
    <w:p>
      <w:pPr>
        <w:pStyle w:val="Normal"/>
        <w:widowControl/>
        <w:suppressAutoHyphens w:val="true"/>
        <w:bidi w:val="0"/>
        <w:spacing w:lineRule="auto" w:line="240" w:before="57" w:after="57"/>
        <w:ind w:hanging="0" w:start="-57" w:end="0"/>
        <w:jc w:val="both"/>
        <w:rPr>
          <w:sz w:val="20"/>
          <w:szCs w:val="20"/>
          <w:u w:val="none"/>
        </w:rPr>
      </w:pPr>
      <w:r>
        <w:rPr>
          <w:rFonts w:eastAsia="Times New Roman" w:cs="Verdana" w:ascii="Verdana" w:hAnsi="Verdana"/>
          <w:b w:val="false"/>
          <w:bCs w:val="false"/>
          <w:i w:val="false"/>
          <w:iCs w:val="false"/>
          <w:color w:val="000000"/>
          <w:sz w:val="20"/>
          <w:szCs w:val="20"/>
          <w:u w:val="none"/>
          <w:lang w:eastAsia="en-US"/>
        </w:rPr>
        <w:t>CONTRATADA com terceiros, ainda que vinculados à execução do presente objeto, bem como por qualquer dano causado a terceiros em decorrência de ato da CONTRATADA, de seus empregados, prepostos ou subordinados.</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pPr>
      <w:r>
        <w:rPr>
          <w:rFonts w:cs="Verdana" w:ascii="Verdana" w:hAnsi="Verdana"/>
          <w:b/>
          <w:sz w:val="20"/>
          <w:szCs w:val="20"/>
          <w:u w:val="single"/>
        </w:rPr>
        <w:t>CLÁUSULA DÉCIMA TERCEIRA – DAS PENALIDADES</w:t>
      </w:r>
    </w:p>
    <w:p>
      <w:pPr>
        <w:pStyle w:val="Normal"/>
        <w:spacing w:lineRule="auto" w:line="240" w:before="57" w:after="57"/>
        <w:ind w:hanging="0" w:start="0" w:end="0"/>
        <w:jc w:val="both"/>
        <w:rPr/>
      </w:pPr>
      <w:r>
        <w:rPr>
          <w:rFonts w:cs="Verdana" w:ascii="Verdana" w:hAnsi="Verdana"/>
          <w:b/>
          <w:sz w:val="20"/>
          <w:szCs w:val="20"/>
        </w:rPr>
        <w:t>13.1.</w:t>
      </w:r>
      <w:r>
        <w:rPr>
          <w:rFonts w:cs="Verdana" w:ascii="Verdana" w:hAnsi="Verdana"/>
          <w:sz w:val="20"/>
          <w:szCs w:val="20"/>
        </w:rPr>
        <w:t xml:space="preserve"> Pela inexecução total ou parcial do objeto do SRP, a Administração do MUNICÍPIO DE SÃO GABRIEL DA PALHA/ES poderá, garantida a prévia defesa, aplicar ao fornecedor as sansões previstas na Lei Vigente, Edital e seus Anexos bem como presente Ata.</w:t>
      </w:r>
    </w:p>
    <w:p>
      <w:pPr>
        <w:pStyle w:val="Normal"/>
        <w:spacing w:lineRule="auto" w:line="240" w:before="57" w:after="57"/>
        <w:ind w:hanging="0" w:start="0" w:end="0"/>
        <w:jc w:val="both"/>
        <w:rPr/>
      </w:pPr>
      <w:r>
        <w:rPr>
          <w:rFonts w:cs="Verdana" w:ascii="Verdana" w:hAnsi="Verdana"/>
          <w:b/>
          <w:bCs/>
          <w:sz w:val="20"/>
          <w:szCs w:val="20"/>
        </w:rPr>
        <w:t>13.2.</w:t>
      </w:r>
      <w:r>
        <w:rPr>
          <w:rFonts w:cs="Verdana" w:ascii="Verdana" w:hAnsi="Verdana"/>
          <w:sz w:val="20"/>
          <w:szCs w:val="20"/>
        </w:rPr>
        <w:t xml:space="preserve"> </w:t>
      </w:r>
      <w:r>
        <w:rPr>
          <w:rFonts w:cs="Verdana" w:ascii="Verdana" w:hAnsi="Verdana"/>
          <w:color w:val="000000"/>
          <w:sz w:val="20"/>
          <w:szCs w:val="20"/>
          <w:shd w:fill="FFFFFF" w:val="clear"/>
        </w:rPr>
        <w:t>O reconhecimento dos direitos da Administração, em caso de rescisão administrativa prevista no art. 155 da Lei nº 14.133/2021.</w:t>
      </w:r>
    </w:p>
    <w:p>
      <w:pPr>
        <w:pStyle w:val="Nivel2"/>
        <w:numPr>
          <w:ilvl w:val="0"/>
          <w:numId w:val="0"/>
        </w:numPr>
        <w:spacing w:lineRule="auto" w:line="240" w:before="57" w:after="57"/>
        <w:ind w:hanging="0" w:start="0" w:end="0"/>
        <w:rPr/>
      </w:pPr>
      <w:r>
        <w:rPr>
          <w:rFonts w:cs="Verdana" w:ascii="Verdana" w:hAnsi="Verdana"/>
          <w:b/>
          <w:bCs/>
          <w:sz w:val="20"/>
          <w:szCs w:val="20"/>
        </w:rPr>
        <w:t>13.3.</w:t>
      </w:r>
      <w:r>
        <w:rPr>
          <w:rFonts w:cs="Verdana" w:ascii="Verdana" w:hAnsi="Verdana"/>
          <w:sz w:val="20"/>
          <w:szCs w:val="2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40" w:before="57" w:after="57"/>
        <w:ind w:hanging="0" w:start="0" w:end="0"/>
        <w:jc w:val="both"/>
        <w:rPr/>
      </w:pPr>
      <w:r>
        <w:rPr>
          <w:rFonts w:cs="Verdana" w:ascii="Verdana" w:hAnsi="Verdana"/>
          <w:b/>
          <w:bCs/>
          <w:sz w:val="20"/>
          <w:szCs w:val="20"/>
        </w:rPr>
        <w:t xml:space="preserve">13.4. </w:t>
      </w:r>
      <w:r>
        <w:rPr>
          <w:rFonts w:cs="Verdana" w:ascii="Verdana" w:hAnsi="Verdana"/>
          <w:sz w:val="20"/>
          <w:szCs w:val="20"/>
        </w:rPr>
        <w:t>O órgão ou entidade participante deverá comunicar ao órgão gerenciador qualquer das ocorrências previstas no item 14.1, dada a necessidade de instauração de procedimento para cancelamento do registro do fornecedor.</w:t>
      </w:r>
    </w:p>
    <w:p>
      <w:pPr>
        <w:pStyle w:val="Normal"/>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hanging="0" w:start="0" w:end="0"/>
        <w:jc w:val="both"/>
        <w:rPr/>
      </w:pPr>
      <w:r>
        <w:rPr>
          <w:rFonts w:cs="Verdana" w:ascii="Verdana" w:hAnsi="Verdana"/>
          <w:b/>
          <w:sz w:val="20"/>
          <w:szCs w:val="20"/>
          <w:u w:val="single"/>
        </w:rPr>
        <w:t>CLÁUSULA DÉCIMA QUARTA – DO CANCELAMENTO DOS PREÇOS REGISTRADOS</w:t>
      </w:r>
    </w:p>
    <w:p>
      <w:pPr>
        <w:pStyle w:val="Normal"/>
        <w:spacing w:lineRule="auto" w:line="240" w:before="57" w:after="57"/>
        <w:ind w:hanging="0" w:start="0" w:end="0"/>
        <w:jc w:val="both"/>
        <w:rPr/>
      </w:pPr>
      <w:r>
        <w:rPr>
          <w:rFonts w:cs="Verdana" w:ascii="Verdana" w:hAnsi="Verdana"/>
          <w:b/>
          <w:sz w:val="20"/>
          <w:szCs w:val="20"/>
        </w:rPr>
        <w:t>14.1.</w:t>
      </w:r>
      <w:r>
        <w:rPr>
          <w:rFonts w:cs="Verdana" w:ascii="Verdana" w:hAnsi="Verdana"/>
          <w:sz w:val="20"/>
          <w:szCs w:val="20"/>
        </w:rPr>
        <w:t xml:space="preserve"> O fornecedor terá seu registro de preço cancelado quando:</w:t>
      </w:r>
    </w:p>
    <w:p>
      <w:pPr>
        <w:pStyle w:val="Normal"/>
        <w:spacing w:lineRule="auto" w:line="240" w:before="57" w:after="57"/>
        <w:ind w:hanging="0" w:start="0" w:end="0"/>
        <w:jc w:val="both"/>
        <w:rPr/>
      </w:pPr>
      <w:r>
        <w:rPr>
          <w:rFonts w:cs="Verdana" w:ascii="Verdana" w:hAnsi="Verdana"/>
          <w:sz w:val="20"/>
          <w:szCs w:val="20"/>
        </w:rPr>
        <w:t>14.1.1 – Descumprir as condições da ata de registro de preços sem motivo justificado;</w:t>
      </w:r>
    </w:p>
    <w:p>
      <w:pPr>
        <w:pStyle w:val="Normal"/>
        <w:spacing w:lineRule="auto" w:line="240" w:before="57" w:after="57"/>
        <w:ind w:hanging="0" w:start="0" w:end="0"/>
        <w:jc w:val="both"/>
        <w:rPr/>
      </w:pPr>
      <w:r>
        <w:rPr>
          <w:rFonts w:cs="Verdana" w:ascii="Verdana" w:hAnsi="Verdana"/>
          <w:sz w:val="20"/>
          <w:szCs w:val="20"/>
        </w:rPr>
        <w:t>14.1.2 – Não retirar a nota de empenho ou instrumento equivalente no prazo estabelecido pela Administração, sem justificativa aceitável;</w:t>
      </w:r>
    </w:p>
    <w:p>
      <w:pPr>
        <w:pStyle w:val="Normal"/>
        <w:spacing w:lineRule="auto" w:line="240" w:before="57" w:after="57"/>
        <w:ind w:hanging="0" w:start="0" w:end="0"/>
        <w:jc w:val="both"/>
        <w:rPr/>
      </w:pPr>
      <w:r>
        <w:rPr>
          <w:rFonts w:cs="Verdana" w:ascii="Verdana" w:hAnsi="Verdana"/>
          <w:sz w:val="20"/>
          <w:szCs w:val="20"/>
        </w:rPr>
        <w:t>14.1.3 – Não aceitar manter seu preço registrado, na hipótese prevista no artigo 27 § 2º, do Decreto nº 11.462, de 2023; ou</w:t>
      </w:r>
    </w:p>
    <w:p>
      <w:pPr>
        <w:pStyle w:val="Normal"/>
        <w:spacing w:lineRule="auto" w:line="240" w:before="57" w:after="57"/>
        <w:ind w:hanging="0" w:start="0" w:end="0"/>
        <w:jc w:val="both"/>
        <w:rPr/>
      </w:pPr>
      <w:r>
        <w:rPr>
          <w:rFonts w:cs="Verdana" w:ascii="Verdana" w:hAnsi="Verdana"/>
          <w:sz w:val="20"/>
          <w:szCs w:val="20"/>
        </w:rPr>
        <w:t>14.1.4 – Sofrer sanção prevista nos incisos III ou IV, do caput do Art. 156, da Lei n.º 14.133, de 2021.</w:t>
      </w:r>
    </w:p>
    <w:p>
      <w:pPr>
        <w:pStyle w:val="Normal"/>
        <w:spacing w:lineRule="auto" w:line="240" w:before="57" w:after="57"/>
        <w:ind w:hanging="0" w:start="0" w:end="0"/>
        <w:jc w:val="both"/>
        <w:rPr/>
      </w:pPr>
      <w:r>
        <w:rPr>
          <w:rFonts w:cs="Verdana" w:ascii="Verdana" w:hAnsi="Verdana"/>
          <w:sz w:val="20"/>
          <w:szCs w:val="20"/>
        </w:rPr>
        <w:t xml:space="preserve">14.1.5 –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 </w:t>
      </w:r>
    </w:p>
    <w:p>
      <w:pPr>
        <w:pStyle w:val="Normal"/>
        <w:spacing w:lineRule="auto" w:line="240" w:before="57" w:after="57"/>
        <w:ind w:hanging="0" w:start="0" w:end="0"/>
        <w:jc w:val="both"/>
        <w:rPr/>
      </w:pPr>
      <w:r>
        <w:rPr>
          <w:rFonts w:cs="Verdana" w:ascii="Verdana" w:hAnsi="Verdana"/>
          <w:b/>
          <w:bCs/>
          <w:sz w:val="20"/>
          <w:szCs w:val="20"/>
        </w:rPr>
        <w:t>14.2.</w:t>
      </w:r>
      <w:r>
        <w:rPr>
          <w:rFonts w:cs="Verdana" w:ascii="Verdana" w:hAnsi="Verdana"/>
          <w:sz w:val="20"/>
          <w:szCs w:val="20"/>
        </w:rPr>
        <w:t xml:space="preserve"> O cancelamento de registros nas hipóteses previstas no item 10.1, será formalizado por despacho do órgão ou da entidade gerenciadora, assegurados os princípios do contraditório e da ampla defesa.</w:t>
      </w:r>
    </w:p>
    <w:p>
      <w:pPr>
        <w:pStyle w:val="Normal"/>
        <w:spacing w:lineRule="auto" w:line="240" w:before="57" w:after="57"/>
        <w:ind w:hanging="0" w:start="0" w:end="0"/>
        <w:jc w:val="both"/>
        <w:rPr/>
      </w:pPr>
      <w:r>
        <w:rPr>
          <w:rFonts w:cs="Verdana" w:ascii="Verdana" w:hAnsi="Verdana"/>
          <w:b/>
          <w:sz w:val="20"/>
          <w:szCs w:val="20"/>
        </w:rPr>
        <w:t>14.3.</w:t>
      </w:r>
      <w:r>
        <w:rPr>
          <w:rFonts w:cs="Verdana" w:ascii="Verdana" w:hAnsi="Verdana"/>
          <w:sz w:val="20"/>
          <w:szCs w:val="20"/>
        </w:rPr>
        <w:t xml:space="preserve"> Na hipótese de cancelamento do registro do fornecedor, o órgão ou a entidade gerenciadora poderá convocar os licitantes que compõem o cadastro de reserva, observada a ordem de classificação.</w:t>
      </w:r>
    </w:p>
    <w:p>
      <w:pPr>
        <w:pStyle w:val="Normal"/>
        <w:spacing w:lineRule="auto" w:line="240" w:before="57" w:after="57"/>
        <w:ind w:hanging="0" w:start="0" w:end="0"/>
        <w:jc w:val="both"/>
        <w:rPr/>
      </w:pPr>
      <w:r>
        <w:rPr>
          <w:rFonts w:cs="Verdana" w:ascii="Verdana" w:hAnsi="Verdana"/>
          <w:b/>
          <w:bCs/>
          <w:sz w:val="20"/>
          <w:szCs w:val="20"/>
        </w:rPr>
        <w:t>14.4.</w:t>
      </w:r>
      <w:r>
        <w:rPr>
          <w:rFonts w:cs="Verdana" w:ascii="Verdana" w:hAnsi="Verdana"/>
          <w:sz w:val="20"/>
          <w:szCs w:val="20"/>
        </w:rPr>
        <w:t xml:space="preserve"> O cancelamento dos preços registrados poderá ser realizado pelo gerenciador, em determinada ata de registro de preços, total ou parcialmente, nas seguintes hipóteses, desde que devidamente comprovados e justificados:</w:t>
      </w:r>
    </w:p>
    <w:p>
      <w:pPr>
        <w:pStyle w:val="Normal"/>
        <w:widowControl/>
        <w:suppressAutoHyphens w:val="true"/>
        <w:bidi w:val="0"/>
        <w:spacing w:lineRule="auto" w:line="240" w:before="57" w:after="57"/>
        <w:ind w:hanging="0" w:start="283" w:end="0"/>
        <w:jc w:val="both"/>
        <w:rPr/>
      </w:pPr>
      <w:r>
        <w:rPr>
          <w:rFonts w:cs="Verdana" w:ascii="Verdana" w:hAnsi="Verdana"/>
          <w:b/>
          <w:bCs/>
          <w:i/>
          <w:iCs/>
          <w:sz w:val="20"/>
          <w:szCs w:val="20"/>
        </w:rPr>
        <w:t>a)</w:t>
      </w:r>
      <w:r>
        <w:rPr>
          <w:rFonts w:cs="Verdana" w:ascii="Verdana" w:hAnsi="Verdana"/>
          <w:sz w:val="20"/>
          <w:szCs w:val="20"/>
        </w:rPr>
        <w:t xml:space="preserve"> por razão de interesse público; e</w:t>
      </w:r>
    </w:p>
    <w:p>
      <w:pPr>
        <w:pStyle w:val="Normal"/>
        <w:widowControl/>
        <w:tabs>
          <w:tab w:val="clear" w:pos="708"/>
          <w:tab w:val="left" w:pos="-2268" w:leader="none"/>
        </w:tabs>
        <w:suppressAutoHyphens w:val="true"/>
        <w:bidi w:val="0"/>
        <w:spacing w:lineRule="auto" w:line="240" w:before="57" w:after="57"/>
        <w:ind w:hanging="0" w:start="283" w:end="0"/>
        <w:jc w:val="both"/>
        <w:rPr/>
      </w:pPr>
      <w:r>
        <w:rPr>
          <w:rFonts w:cs="Verdana" w:ascii="Verdana" w:hAnsi="Verdana"/>
          <w:b/>
          <w:bCs/>
          <w:i/>
          <w:iCs/>
          <w:sz w:val="20"/>
          <w:szCs w:val="20"/>
        </w:rPr>
        <w:t>b)</w:t>
      </w:r>
      <w:r>
        <w:rPr>
          <w:rFonts w:cs="Verdana" w:ascii="Verdana" w:hAnsi="Verdana"/>
          <w:sz w:val="20"/>
          <w:szCs w:val="20"/>
        </w:rPr>
        <w:t xml:space="preserve"> a pedido do fornecedor, decorrente de caso fortuito ou força maior;</w:t>
      </w:r>
    </w:p>
    <w:p>
      <w:pPr>
        <w:pStyle w:val="Normal"/>
        <w:widowControl/>
        <w:tabs>
          <w:tab w:val="clear" w:pos="708"/>
          <w:tab w:val="left" w:pos="-2268" w:leader="none"/>
        </w:tabs>
        <w:suppressAutoHyphens w:val="true"/>
        <w:bidi w:val="0"/>
        <w:spacing w:lineRule="auto" w:line="240" w:before="57" w:after="57"/>
        <w:ind w:hanging="0" w:start="283" w:end="0"/>
        <w:jc w:val="both"/>
        <w:rPr/>
      </w:pPr>
      <w:r>
        <w:rPr>
          <w:rFonts w:cs="Verdana" w:ascii="Verdana" w:hAnsi="Verdana"/>
          <w:b/>
          <w:bCs/>
          <w:i/>
          <w:iCs/>
          <w:sz w:val="20"/>
          <w:szCs w:val="20"/>
        </w:rPr>
        <w:t>c)</w:t>
      </w:r>
      <w:r>
        <w:rPr>
          <w:rFonts w:cs="Verdana" w:ascii="Verdana" w:hAnsi="Verdana"/>
          <w:sz w:val="20"/>
          <w:szCs w:val="20"/>
        </w:rPr>
        <w:t xml:space="preserve"> se não houver êxito nas negociações, nas hipóteses em que o preço de mercado se tornar superior ou inferior ao preço registrado, nos termos dos artigos 26, § 3º e 27, § 4º, ambos do Decreto nº 11.462, de 2023.</w:t>
      </w:r>
    </w:p>
    <w:p>
      <w:pPr>
        <w:pStyle w:val="Normal"/>
        <w:tabs>
          <w:tab w:val="clear" w:pos="708"/>
          <w:tab w:val="left" w:pos="-2268" w:leader="none"/>
        </w:tabs>
        <w:spacing w:lineRule="auto" w:line="240" w:before="57" w:after="57"/>
        <w:ind w:hanging="0" w:start="0" w:end="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before="57" w:after="57"/>
        <w:ind w:hanging="0" w:start="0" w:end="0"/>
        <w:jc w:val="both"/>
        <w:rPr/>
      </w:pPr>
      <w:r>
        <w:rPr>
          <w:rFonts w:cs="Verdana" w:ascii="Verdana" w:hAnsi="Verdana"/>
          <w:b/>
          <w:sz w:val="20"/>
          <w:szCs w:val="20"/>
          <w:u w:val="single"/>
        </w:rPr>
        <w:t>CLÁUSULA DÉCIMA QUINTA – DOS DOCUMENTOS APLICÁVEIS</w:t>
      </w:r>
    </w:p>
    <w:p>
      <w:pPr>
        <w:pStyle w:val="Normal"/>
        <w:tabs>
          <w:tab w:val="clear" w:pos="708"/>
          <w:tab w:val="left" w:pos="400" w:leader="none"/>
        </w:tabs>
        <w:spacing w:lineRule="auto" w:line="240" w:before="57" w:after="57"/>
        <w:ind w:hanging="0" w:start="0" w:end="0"/>
        <w:jc w:val="both"/>
        <w:rPr/>
      </w:pPr>
      <w:r>
        <w:rPr>
          <w:rFonts w:cs="Verdana" w:ascii="Verdana" w:hAnsi="Verdana"/>
          <w:b/>
          <w:sz w:val="20"/>
          <w:szCs w:val="20"/>
        </w:rPr>
        <w:t>15.1.</w:t>
      </w:r>
      <w:r>
        <w:rPr>
          <w:rFonts w:cs="Verdana" w:ascii="Verdana" w:hAnsi="Verdana"/>
          <w:sz w:val="20"/>
          <w:szCs w:val="20"/>
        </w:rPr>
        <w:t xml:space="preserve"> Integram esta Ata, o Edital e seus anexos, a proposta de preço formulada pelo fornecedor, declarações e a documentação de habilitação, cujo teor as partes declaram ter conhecimento e aceitam, independentemente de sua anexação.</w:t>
      </w:r>
    </w:p>
    <w:p>
      <w:pPr>
        <w:pStyle w:val="Normal"/>
        <w:tabs>
          <w:tab w:val="clear" w:pos="708"/>
          <w:tab w:val="left" w:pos="400" w:leader="none"/>
        </w:tabs>
        <w:spacing w:lineRule="auto" w:line="240" w:before="57" w:after="57"/>
        <w:ind w:hanging="0" w:start="0" w:end="0"/>
        <w:jc w:val="both"/>
        <w:rPr/>
      </w:pPr>
      <w:r>
        <w:rPr>
          <w:rFonts w:cs="Verdana" w:ascii="Verdana" w:hAnsi="Verdana"/>
          <w:b/>
          <w:sz w:val="20"/>
          <w:szCs w:val="20"/>
        </w:rPr>
        <w:t xml:space="preserve">15.2. </w:t>
      </w:r>
      <w:r>
        <w:rPr>
          <w:rFonts w:cs="Verdana" w:ascii="Verdana" w:hAnsi="Verdana"/>
          <w:sz w:val="20"/>
          <w:szCs w:val="20"/>
        </w:rPr>
        <w:t>Os documentos referidos no item anterior são considerados suficientes para, em complemento a esta Ata, definirem a sua extensão, e desta forma, regerem a execução adequada desta ata de registro de preço.</w:t>
      </w:r>
    </w:p>
    <w:p>
      <w:pPr>
        <w:pStyle w:val="Normal"/>
        <w:tabs>
          <w:tab w:val="clear" w:pos="708"/>
          <w:tab w:val="left" w:pos="400" w:leader="none"/>
        </w:tabs>
        <w:spacing w:lineRule="auto" w:line="240" w:before="57" w:after="57"/>
        <w:ind w:hanging="0" w:start="0" w:end="0"/>
        <w:jc w:val="both"/>
        <w:rPr/>
      </w:pPr>
      <w:r>
        <w:rPr>
          <w:rFonts w:cs="Verdana" w:ascii="Verdana" w:hAnsi="Verdana"/>
          <w:b/>
          <w:sz w:val="20"/>
          <w:szCs w:val="20"/>
        </w:rPr>
        <w:t xml:space="preserve">15.3. </w:t>
      </w:r>
      <w:r>
        <w:rPr>
          <w:rFonts w:cs="Verdana" w:ascii="Verdana" w:hAnsi="Verdana"/>
          <w:sz w:val="20"/>
          <w:szCs w:val="20"/>
        </w:rPr>
        <w:t>Os casos omissos serão resolvidos em observância as disposições constantes da Lei 14.133/2021 e demais Legislações Aplicáveis.</w:t>
      </w:r>
    </w:p>
    <w:p>
      <w:pPr>
        <w:pStyle w:val="Heading4"/>
        <w:numPr>
          <w:ilvl w:val="3"/>
          <w:numId w:val="1"/>
        </w:numPr>
        <w:spacing w:lineRule="auto" w:line="240" w:before="57" w:after="57"/>
        <w:ind w:hanging="0" w:start="0" w:end="0"/>
        <w:jc w:val="both"/>
        <w:rPr>
          <w:rFonts w:ascii="Verdana" w:hAnsi="Verdana" w:cs="Verdana"/>
          <w:sz w:val="20"/>
          <w:szCs w:val="20"/>
          <w:u w:val="single"/>
        </w:rPr>
      </w:pPr>
      <w:r>
        <w:rPr>
          <w:rFonts w:cs="Verdana" w:ascii="Verdana" w:hAnsi="Verdana"/>
          <w:sz w:val="20"/>
          <w:szCs w:val="20"/>
          <w:u w:val="single"/>
        </w:rPr>
      </w:r>
    </w:p>
    <w:p>
      <w:pPr>
        <w:pStyle w:val="Heading4"/>
        <w:numPr>
          <w:ilvl w:val="3"/>
          <w:numId w:val="1"/>
        </w:numPr>
        <w:spacing w:lineRule="auto" w:line="240" w:before="57" w:after="57"/>
        <w:ind w:hanging="0" w:start="0" w:end="0"/>
        <w:jc w:val="both"/>
        <w:rPr/>
      </w:pPr>
      <w:r>
        <w:rPr>
          <w:rFonts w:cs="Verdana" w:ascii="Verdana" w:hAnsi="Verdana"/>
          <w:sz w:val="20"/>
          <w:szCs w:val="20"/>
          <w:u w:val="single"/>
        </w:rPr>
        <w:t>CLÁUSULA DÉCIMA SEXTA – DO ADITAMENTO</w:t>
      </w:r>
    </w:p>
    <w:p>
      <w:pPr>
        <w:pStyle w:val="Normal"/>
        <w:spacing w:lineRule="auto" w:line="240" w:before="57" w:after="57"/>
        <w:ind w:hanging="0" w:start="0" w:end="0"/>
        <w:jc w:val="both"/>
        <w:rPr/>
      </w:pPr>
      <w:r>
        <w:rPr>
          <w:rFonts w:cs="Verdana" w:ascii="Verdana" w:hAnsi="Verdana"/>
          <w:b/>
          <w:sz w:val="20"/>
          <w:szCs w:val="20"/>
        </w:rPr>
        <w:t>16.1.</w:t>
      </w:r>
      <w:r>
        <w:rPr>
          <w:rFonts w:cs="Verdana" w:ascii="Verdana" w:hAnsi="Verdana"/>
          <w:sz w:val="20"/>
          <w:szCs w:val="20"/>
        </w:rPr>
        <w:t xml:space="preserve"> A partir da assinatura desta Ata, a esta passam a ser aplicáveis todos os termos de aditamento que vierem a ser celebrados e que importem em alteração de qualquer condição descrita na presente Ata, desde que sejam assinados por representantes das partes, observados os limites e as formalidades legais.</w:t>
      </w:r>
    </w:p>
    <w:p>
      <w:pPr>
        <w:pStyle w:val="Normal"/>
        <w:tabs>
          <w:tab w:val="clear" w:pos="708"/>
          <w:tab w:val="left" w:pos="-2268" w:leader="none"/>
        </w:tabs>
        <w:spacing w:lineRule="auto" w:line="240" w:before="57" w:after="57"/>
        <w:ind w:hanging="0" w:start="0" w:end="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40" w:before="57" w:after="57"/>
        <w:ind w:hanging="0" w:start="0" w:end="0"/>
        <w:jc w:val="both"/>
        <w:rPr/>
      </w:pPr>
      <w:r>
        <w:rPr>
          <w:rFonts w:cs="Verdana" w:ascii="Verdana" w:hAnsi="Verdana"/>
          <w:b/>
          <w:sz w:val="20"/>
          <w:szCs w:val="20"/>
          <w:u w:val="single"/>
        </w:rPr>
        <w:t>CLÁUSULA DÉCIMA SÉTIMA – FORO</w:t>
      </w:r>
    </w:p>
    <w:p>
      <w:pPr>
        <w:pStyle w:val="Normal"/>
        <w:tabs>
          <w:tab w:val="clear" w:pos="708"/>
          <w:tab w:val="left" w:pos="-2268" w:leader="none"/>
        </w:tabs>
        <w:spacing w:lineRule="auto" w:line="240" w:before="57" w:after="57"/>
        <w:ind w:hanging="0" w:start="0" w:end="0"/>
        <w:jc w:val="both"/>
        <w:rPr/>
      </w:pPr>
      <w:r>
        <w:rPr>
          <w:rFonts w:cs="Verdana" w:ascii="Verdana" w:hAnsi="Verdana"/>
          <w:b/>
          <w:sz w:val="20"/>
          <w:szCs w:val="20"/>
        </w:rPr>
        <w:t>17.1. ELEIÇÃO</w:t>
      </w:r>
      <w:r>
        <w:rPr>
          <w:rFonts w:cs="Verdana" w:ascii="Verdana" w:hAnsi="Verdana"/>
          <w:sz w:val="20"/>
          <w:szCs w:val="20"/>
        </w:rPr>
        <w:t xml:space="preserve"> – Para dirimir todas as questões oriundas do presente instrumento, fica eleito o FORO da Comarca de SÃO GABRIEL DA PALHA - ES.</w:t>
        <w:tab/>
      </w:r>
    </w:p>
    <w:p>
      <w:pPr>
        <w:pStyle w:val="BodyText"/>
        <w:tabs>
          <w:tab w:val="clear" w:pos="708"/>
          <w:tab w:val="left" w:pos="900" w:leader="none"/>
        </w:tabs>
        <w:spacing w:lineRule="auto" w:line="240" w:before="57" w:after="57"/>
        <w:ind w:hanging="0" w:start="0" w:end="0"/>
        <w:rPr/>
      </w:pPr>
      <w:r>
        <w:rPr>
          <w:rFonts w:cs="Verdana" w:ascii="Verdana" w:hAnsi="Verdana"/>
          <w:sz w:val="20"/>
          <w:szCs w:val="20"/>
        </w:rPr>
        <w:tab/>
        <w:t xml:space="preserve">E, por estarem justos, combinados, assinam o presente instrumento, após lido e achado conforme, na presença das testemunhas abaixo assinadas. </w:t>
      </w:r>
    </w:p>
    <w:p>
      <w:pPr>
        <w:pStyle w:val="Normal"/>
        <w:tabs>
          <w:tab w:val="clear" w:pos="708"/>
          <w:tab w:val="left" w:pos="-2268" w:leader="none"/>
        </w:tabs>
        <w:spacing w:lineRule="auto" w:line="240" w:before="57" w:after="57"/>
        <w:ind w:hanging="0" w:start="0" w:end="0"/>
        <w:jc w:val="end"/>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before="57" w:after="57"/>
        <w:ind w:hanging="0" w:start="0" w:end="0"/>
        <w:jc w:val="end"/>
        <w:rPr/>
      </w:pPr>
      <w:r>
        <w:rPr>
          <w:rFonts w:cs="Verdana" w:ascii="Verdana" w:hAnsi="Verdana"/>
          <w:sz w:val="20"/>
          <w:szCs w:val="20"/>
        </w:rPr>
        <w:t>São Gabriel da Palha – ES, em _____ de __________ de 2025.</w:t>
      </w:r>
    </w:p>
    <w:p>
      <w:pPr>
        <w:pStyle w:val="Normal"/>
        <w:spacing w:lineRule="auto" w:line="240" w:before="57" w:after="57"/>
        <w:ind w:hanging="0" w:start="0" w:end="0"/>
        <w:jc w:val="center"/>
        <w:rPr/>
      </w:pPr>
      <w:r>
        <w:rPr>
          <w:rFonts w:cs="Verdana" w:ascii="Verdana" w:hAnsi="Verdana"/>
          <w:b/>
          <w:sz w:val="20"/>
          <w:szCs w:val="20"/>
        </w:rPr>
        <w:t>MUNICÍPIO DE SÃO GABRIEL DA PALHA</w:t>
      </w:r>
    </w:p>
    <w:p>
      <w:pPr>
        <w:pStyle w:val="Normal"/>
        <w:spacing w:lineRule="auto" w:line="240" w:before="57" w:after="57"/>
        <w:ind w:hanging="0" w:start="0" w:end="0"/>
        <w:jc w:val="center"/>
        <w:rPr>
          <w:rFonts w:ascii="Verdana" w:hAnsi="Verdana" w:cs="Verdana"/>
          <w:b/>
          <w:sz w:val="20"/>
          <w:szCs w:val="20"/>
        </w:rPr>
      </w:pPr>
      <w:r>
        <w:rPr>
          <w:rFonts w:cs="Verdana" w:ascii="Verdana" w:hAnsi="Verdana"/>
          <w:b/>
          <w:sz w:val="20"/>
          <w:szCs w:val="20"/>
        </w:rPr>
      </w:r>
    </w:p>
    <w:p>
      <w:pPr>
        <w:pStyle w:val="Normal"/>
        <w:spacing w:lineRule="auto" w:line="240" w:before="57" w:after="57"/>
        <w:ind w:hanging="0" w:start="0" w:end="0"/>
        <w:jc w:val="center"/>
        <w:rPr/>
      </w:pPr>
      <w:r>
        <w:rPr>
          <w:rFonts w:cs="Verdana" w:ascii="Verdana" w:hAnsi="Verdana"/>
          <w:b/>
          <w:sz w:val="20"/>
          <w:szCs w:val="20"/>
        </w:rPr>
        <w:t>____EMPRESA____</w:t>
      </w:r>
    </w:p>
    <w:p>
      <w:pPr>
        <w:pStyle w:val="Normal"/>
        <w:spacing w:lineRule="auto" w:line="240" w:before="57" w:after="57"/>
        <w:ind w:hanging="0" w:start="0" w:end="0"/>
        <w:jc w:val="center"/>
        <w:rPr/>
      </w:pPr>
      <w:r>
        <w:rPr>
          <w:rFonts w:cs="Verdana" w:ascii="Verdana" w:hAnsi="Verdana"/>
          <w:sz w:val="20"/>
          <w:szCs w:val="20"/>
        </w:rPr>
        <w:t>____Sócio Administrador____</w:t>
      </w:r>
    </w:p>
    <w:p>
      <w:pPr>
        <w:pStyle w:val="Normal"/>
        <w:spacing w:lineRule="auto" w:line="240" w:before="57" w:after="57"/>
        <w:ind w:hanging="0" w:start="0" w:end="0"/>
        <w:jc w:val="center"/>
        <w:rPr/>
      </w:pPr>
      <w:r>
        <w:rPr>
          <w:rFonts w:cs="Verdana" w:ascii="Verdana" w:hAnsi="Verdana"/>
          <w:sz w:val="20"/>
          <w:szCs w:val="20"/>
        </w:rPr>
        <w:t>CPF Nº ________________</w:t>
      </w:r>
    </w:p>
    <w:tbl>
      <w:tblPr>
        <w:tblW w:w="9169" w:type="dxa"/>
        <w:jc w:val="start"/>
        <w:tblInd w:w="0" w:type="dxa"/>
        <w:tblLayout w:type="fixed"/>
        <w:tblCellMar>
          <w:top w:w="0" w:type="dxa"/>
          <w:start w:w="70" w:type="dxa"/>
          <w:bottom w:w="0" w:type="dxa"/>
          <w:end w:w="70" w:type="dxa"/>
        </w:tblCellMar>
      </w:tblPr>
      <w:tblGrid>
        <w:gridCol w:w="4027"/>
        <w:gridCol w:w="718"/>
        <w:gridCol w:w="4424"/>
      </w:tblGrid>
      <w:tr>
        <w:trPr>
          <w:cantSplit w:val="true"/>
        </w:trPr>
        <w:tc>
          <w:tcPr>
            <w:tcW w:w="4027" w:type="dxa"/>
            <w:tcBorders/>
          </w:tcPr>
          <w:p>
            <w:pPr>
              <w:pStyle w:val="Normal"/>
              <w:widowControl w:val="false"/>
              <w:spacing w:lineRule="auto" w:line="240" w:before="57" w:after="57"/>
              <w:ind w:hanging="0" w:start="0" w:end="0"/>
              <w:rPr/>
            </w:pPr>
            <w:r>
              <w:rPr>
                <w:rFonts w:cs="Verdana" w:ascii="Verdana" w:hAnsi="Verdana"/>
                <w:sz w:val="20"/>
                <w:szCs w:val="20"/>
              </w:rPr>
              <w:t>Testemunhas:</w:t>
            </w:r>
          </w:p>
        </w:tc>
        <w:tc>
          <w:tcPr>
            <w:tcW w:w="718" w:type="dxa"/>
            <w:tcBorders/>
          </w:tcPr>
          <w:p>
            <w:pPr>
              <w:pStyle w:val="Normal"/>
              <w:widowControl w:val="false"/>
              <w:snapToGrid w:val="false"/>
              <w:spacing w:lineRule="auto" w:line="240" w:before="57" w:after="57"/>
              <w:ind w:hanging="0" w:start="0" w:end="0"/>
              <w:rPr>
                <w:rFonts w:ascii="Verdana" w:hAnsi="Verdana" w:cs="Verdana"/>
                <w:sz w:val="20"/>
                <w:szCs w:val="20"/>
              </w:rPr>
            </w:pPr>
            <w:r>
              <w:rPr>
                <w:rFonts w:cs="Verdana" w:ascii="Verdana" w:hAnsi="Verdana"/>
                <w:sz w:val="20"/>
                <w:szCs w:val="20"/>
              </w:rPr>
            </w:r>
          </w:p>
        </w:tc>
        <w:tc>
          <w:tcPr>
            <w:tcW w:w="4424" w:type="dxa"/>
            <w:tcBorders/>
          </w:tcPr>
          <w:p>
            <w:pPr>
              <w:pStyle w:val="Normal"/>
              <w:widowControl w:val="false"/>
              <w:spacing w:lineRule="auto" w:line="240" w:before="57" w:after="57"/>
              <w:ind w:hanging="0" w:start="0" w:end="0"/>
              <w:rPr/>
            </w:pPr>
            <w:r>
              <w:rPr>
                <w:rFonts w:cs="Verdana" w:ascii="Verdana" w:hAnsi="Verdana"/>
                <w:sz w:val="20"/>
                <w:szCs w:val="20"/>
              </w:rPr>
              <w:t>CPF:</w:t>
            </w:r>
          </w:p>
        </w:tc>
      </w:tr>
    </w:tbl>
    <w:p>
      <w:pPr>
        <w:pStyle w:val="Normal"/>
        <w:spacing w:lineRule="auto" w:line="240" w:before="57" w:after="57"/>
        <w:ind w:hanging="0" w:start="0" w:end="0"/>
        <w:rPr>
          <w:rFonts w:ascii="Verdana" w:hAnsi="Verdana" w:cs="Verdana"/>
          <w:sz w:val="20"/>
          <w:szCs w:val="20"/>
        </w:rPr>
      </w:pPr>
      <w:r>
        <w:rPr>
          <w:rFonts w:cs="Verdana" w:ascii="Verdana" w:hAnsi="Verdana"/>
          <w:sz w:val="20"/>
          <w:szCs w:val="20"/>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55" w:right="1134" w:gutter="0" w:header="285" w:top="342" w:footer="282" w:bottom="728"/>
      <w:pgNumType w:start="9"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OpenSymbol">
    <w:altName w:val="Arial Unicode MS"/>
    <w:charset w:val="00" w:characterSet="windows-1252"/>
    <w:family w:val="roman"/>
    <w:pitch w:val="variable"/>
  </w:font>
  <w:font w:name="Arial">
    <w:charset w:val="00" w:characterSet="windows-1252"/>
    <w:family w:val="roman"/>
    <w:pitch w:val="variable"/>
  </w:font>
  <w:font w:name="Calibri">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Segoe UI">
    <w:charset w:val="00" w:characterSet="windows-1252"/>
    <w:family w:val="roman"/>
    <w:pitch w:val="variable"/>
  </w:font>
  <w:font w:name="Liberation Sans">
    <w:altName w:val="Arial"/>
    <w:charset w:val="00" w:characterSet="windows-1252"/>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end="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end="36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1" distT="0" distB="0" distL="114935" distR="114935" simplePos="0" locked="0" layoutInCell="0" allowOverlap="1" relativeHeight="10">
          <wp:simplePos x="0" y="0"/>
          <wp:positionH relativeFrom="column">
            <wp:posOffset>-200025</wp:posOffset>
          </wp:positionH>
          <wp:positionV relativeFrom="paragraph">
            <wp:posOffset>57150</wp:posOffset>
          </wp:positionV>
          <wp:extent cx="619760" cy="522605"/>
          <wp:effectExtent l="0" t="0" r="0" b="0"/>
          <wp:wrapSquare wrapText="bothSides"/>
          <wp:docPr id="1"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title=""/>
                  <pic:cNvPicPr>
                    <a:picLocks noChangeAspect="1" noChangeArrowheads="1"/>
                  </pic:cNvPicPr>
                </pic:nvPicPr>
                <pic:blipFill>
                  <a:blip r:embed="rId1"/>
                  <a:srcRect l="-1179" t="-1312" r="-1179" b="-1312"/>
                  <a:stretch>
                    <a:fillRect/>
                  </a:stretch>
                </pic:blipFill>
                <pic:spPr bwMode="auto">
                  <a:xfrm>
                    <a:off x="0" y="0"/>
                    <a:ext cx="619760" cy="522605"/>
                  </a:xfrm>
                  <a:prstGeom prst="rect">
                    <a:avLst/>
                  </a:prstGeom>
                </pic:spPr>
              </pic:pic>
            </a:graphicData>
          </a:graphic>
        </wp:anchor>
      </w:drawing>
    </w:r>
  </w:p>
  <w:p>
    <w:pPr>
      <w:pStyle w:val="Header"/>
      <w:rPr>
        <w:sz w:val="8"/>
        <w:szCs w:val="8"/>
      </w:rPr>
    </w:pPr>
    <w:r>
      <w:rPr>
        <w:rFonts w:eastAsia="Verdana" w:cs="Verdana" w:ascii="Verdana" w:hAnsi="Verdana"/>
        <w:sz w:val="26"/>
        <w:szCs w:val="26"/>
      </w:rPr>
      <w:tab/>
    </w:r>
    <w:r>
      <w:rPr>
        <w:rFonts w:cs="Verdana" w:ascii="Verdana" w:hAnsi="Verdana"/>
        <w:sz w:val="26"/>
        <w:szCs w:val="26"/>
      </w:rPr>
      <w:t>PREFEITURA MUNICIPAL DE SÃO GABRIEL DA PALHA</w:t>
    </w:r>
  </w:p>
  <w:p>
    <w:pPr>
      <w:pStyle w:val="Header"/>
      <w:rPr>
        <w:sz w:val="8"/>
        <w:szCs w:val="8"/>
      </w:rPr>
    </w:pPr>
    <w:r>
      <w:rPr>
        <w:sz w:val="8"/>
        <w:szCs w:val="8"/>
      </w:rPr>
    </w:r>
  </w:p>
  <w:p>
    <w:pPr>
      <w:pStyle w:val="Header"/>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Header"/>
      <w:tabs>
        <w:tab w:val="clear" w:pos="708"/>
        <w:tab w:val="left" w:pos="3980" w:leader="none"/>
      </w:tabs>
      <w:rPr>
        <w:rFonts w:ascii="Verdana" w:hAnsi="Verdana" w:cs="Verdana"/>
        <w:b/>
        <w:sz w:val="16"/>
        <w:szCs w:val="16"/>
      </w:rPr>
    </w:pPr>
    <w:r>
      <w:rPr>
        <w:rFonts w:cs="Verdana" w:ascii="Verdana" w:hAnsi="Verdana"/>
        <w:b/>
        <w:sz w:val="16"/>
        <w:szCs w:val="16"/>
      </w:rPr>
    </w:r>
  </w:p>
  <w:p>
    <w:pPr>
      <w:pStyle w:val="Header"/>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1" distT="0" distB="0" distL="114935" distR="114935" simplePos="0" locked="0" layoutInCell="0" allowOverlap="1" relativeHeight="10">
          <wp:simplePos x="0" y="0"/>
          <wp:positionH relativeFrom="column">
            <wp:posOffset>-200025</wp:posOffset>
          </wp:positionH>
          <wp:positionV relativeFrom="paragraph">
            <wp:posOffset>57150</wp:posOffset>
          </wp:positionV>
          <wp:extent cx="619760" cy="522605"/>
          <wp:effectExtent l="0" t="0" r="0" b="0"/>
          <wp:wrapSquare wrapText="bothSides"/>
          <wp:docPr id="2"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title=""/>
                  <pic:cNvPicPr>
                    <a:picLocks noChangeAspect="1" noChangeArrowheads="1"/>
                  </pic:cNvPicPr>
                </pic:nvPicPr>
                <pic:blipFill>
                  <a:blip r:embed="rId1"/>
                  <a:srcRect l="-1179" t="-1312" r="-1179" b="-1312"/>
                  <a:stretch>
                    <a:fillRect/>
                  </a:stretch>
                </pic:blipFill>
                <pic:spPr bwMode="auto">
                  <a:xfrm>
                    <a:off x="0" y="0"/>
                    <a:ext cx="619760" cy="522605"/>
                  </a:xfrm>
                  <a:prstGeom prst="rect">
                    <a:avLst/>
                  </a:prstGeom>
                </pic:spPr>
              </pic:pic>
            </a:graphicData>
          </a:graphic>
        </wp:anchor>
      </w:drawing>
    </w:r>
  </w:p>
  <w:p>
    <w:pPr>
      <w:pStyle w:val="Header"/>
      <w:rPr>
        <w:sz w:val="8"/>
        <w:szCs w:val="8"/>
      </w:rPr>
    </w:pPr>
    <w:r>
      <w:rPr>
        <w:rFonts w:eastAsia="Verdana" w:cs="Verdana" w:ascii="Verdana" w:hAnsi="Verdana"/>
        <w:sz w:val="26"/>
        <w:szCs w:val="26"/>
      </w:rPr>
      <w:tab/>
    </w:r>
    <w:r>
      <w:rPr>
        <w:rFonts w:cs="Verdana" w:ascii="Verdana" w:hAnsi="Verdana"/>
        <w:sz w:val="26"/>
        <w:szCs w:val="26"/>
      </w:rPr>
      <w:t>PREFEITURA MUNICIPAL DE SÃO GABRIEL DA PALHA</w:t>
    </w:r>
  </w:p>
  <w:p>
    <w:pPr>
      <w:pStyle w:val="Header"/>
      <w:rPr>
        <w:sz w:val="8"/>
        <w:szCs w:val="8"/>
      </w:rPr>
    </w:pPr>
    <w:r>
      <w:rPr>
        <w:sz w:val="8"/>
        <w:szCs w:val="8"/>
      </w:rPr>
    </w:r>
  </w:p>
  <w:p>
    <w:pPr>
      <w:pStyle w:val="Header"/>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Header"/>
      <w:tabs>
        <w:tab w:val="clear" w:pos="708"/>
        <w:tab w:val="left" w:pos="3980" w:leader="none"/>
      </w:tabs>
      <w:rPr>
        <w:rFonts w:ascii="Verdana" w:hAnsi="Verdana" w:cs="Verdana"/>
        <w:b/>
        <w:sz w:val="16"/>
        <w:szCs w:val="16"/>
      </w:rPr>
    </w:pPr>
    <w:r>
      <w:rPr>
        <w:rFonts w:cs="Verdana" w:ascii="Verdana" w:hAnsi="Verdana"/>
        <w:b/>
        <w:sz w:val="16"/>
        <w:szCs w:val="16"/>
      </w:rPr>
    </w:r>
  </w:p>
  <w:p>
    <w:pPr>
      <w:pStyle w:val="Header"/>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5.%1 - "/>
      <w:lvlJc w:val="start"/>
      <w:pPr>
        <w:tabs>
          <w:tab w:val="num" w:pos="0"/>
        </w:tabs>
        <w:ind w:start="720" w:hanging="360"/>
      </w:pPr>
      <w:rPr>
        <w:sz w:val="20"/>
        <w:i w:val="false"/>
        <w:b/>
        <w:szCs w:val="20"/>
        <w:iCs w:val="false"/>
        <w:bCs/>
        <w:rFonts w:ascii="Verdana" w:hAnsi="Verdana" w:cs="Verdana"/>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4"/>
      <w:numFmt w:val="decimal"/>
      <w:lvlText w:val="%1"/>
      <w:lvlJc w:val="start"/>
      <w:pPr>
        <w:tabs>
          <w:tab w:val="num" w:pos="0"/>
        </w:tabs>
        <w:ind w:start="510" w:hanging="510"/>
      </w:pPr>
      <w:rPr/>
    </w:lvl>
    <w:lvl w:ilvl="1">
      <w:start w:val="2"/>
      <w:numFmt w:val="decimal"/>
      <w:lvlText w:val="%1.%2"/>
      <w:lvlJc w:val="start"/>
      <w:pPr>
        <w:tabs>
          <w:tab w:val="num" w:pos="0"/>
        </w:tabs>
        <w:ind w:start="720" w:hanging="72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1080" w:hanging="1080"/>
      </w:pPr>
      <w:rPr/>
    </w:lvl>
    <w:lvl w:ilvl="4">
      <w:start w:val="1"/>
      <w:numFmt w:val="decimal"/>
      <w:lvlText w:val="%1.%2.%3.%4.%5"/>
      <w:lvlJc w:val="start"/>
      <w:pPr>
        <w:tabs>
          <w:tab w:val="num" w:pos="0"/>
        </w:tabs>
        <w:ind w:start="1440" w:hanging="1440"/>
      </w:pPr>
      <w:rPr/>
    </w:lvl>
    <w:lvl w:ilvl="5">
      <w:start w:val="1"/>
      <w:numFmt w:val="decimal"/>
      <w:lvlText w:val="%1.%2.%3.%4.%5.%6"/>
      <w:lvlJc w:val="start"/>
      <w:pPr>
        <w:tabs>
          <w:tab w:val="num" w:pos="0"/>
        </w:tabs>
        <w:ind w:start="1440" w:hanging="1440"/>
      </w:pPr>
      <w:rPr/>
    </w:lvl>
    <w:lvl w:ilvl="6">
      <w:start w:val="1"/>
      <w:numFmt w:val="decimal"/>
      <w:lvlText w:val="%1.%2.%3.%4.%5.%6.%7"/>
      <w:lvlJc w:val="start"/>
      <w:pPr>
        <w:tabs>
          <w:tab w:val="num" w:pos="0"/>
        </w:tabs>
        <w:ind w:start="1800" w:hanging="1800"/>
      </w:pPr>
      <w:rPr/>
    </w:lvl>
    <w:lvl w:ilvl="7">
      <w:start w:val="1"/>
      <w:numFmt w:val="decimal"/>
      <w:lvlText w:val="%1.%2.%3.%4.%5.%6.%7.%8"/>
      <w:lvlJc w:val="start"/>
      <w:pPr>
        <w:tabs>
          <w:tab w:val="num" w:pos="0"/>
        </w:tabs>
        <w:ind w:start="2160" w:hanging="2160"/>
      </w:pPr>
      <w:rPr/>
    </w:lvl>
    <w:lvl w:ilvl="8">
      <w:start w:val="1"/>
      <w:numFmt w:val="decimal"/>
      <w:lvlText w:val="%1.%2.%3.%4.%5.%6.%7.%8.%9"/>
      <w:lvlJc w:val="start"/>
      <w:pPr>
        <w:tabs>
          <w:tab w:val="num" w:pos="0"/>
        </w:tabs>
        <w:ind w:start="2160" w:hanging="2160"/>
      </w:pPr>
      <w:rPr/>
    </w:lvl>
  </w:abstractNum>
  <w:abstractNum w:abstractNumId="4">
    <w:lvl w:ilvl="0">
      <w:start w:val="1"/>
      <w:numFmt w:val="bullet"/>
      <w:lvlText w:val=""/>
      <w:lvlJc w:val="start"/>
      <w:pPr>
        <w:tabs>
          <w:tab w:val="num" w:pos="1152"/>
        </w:tabs>
        <w:ind w:start="1152" w:hanging="360"/>
      </w:pPr>
      <w:rPr>
        <w:rFonts w:ascii="Symbol" w:hAnsi="Symbol" w:cs="Symbol" w:hint="default"/>
      </w:rPr>
    </w:lvl>
    <w:lvl w:ilvl="1">
      <w:start w:val="1"/>
      <w:numFmt w:val="bullet"/>
      <w:lvlText w:val="◦"/>
      <w:lvlJc w:val="start"/>
      <w:pPr>
        <w:tabs>
          <w:tab w:val="num" w:pos="1512"/>
        </w:tabs>
        <w:ind w:start="1512" w:hanging="360"/>
      </w:pPr>
      <w:rPr>
        <w:rFonts w:ascii="OpenSymbol" w:hAnsi="OpenSymbol" w:cs="OpenSymbol" w:hint="default"/>
      </w:rPr>
    </w:lvl>
    <w:lvl w:ilvl="2">
      <w:start w:val="1"/>
      <w:numFmt w:val="bullet"/>
      <w:lvlText w:val="▪"/>
      <w:lvlJc w:val="start"/>
      <w:pPr>
        <w:tabs>
          <w:tab w:val="num" w:pos="1872"/>
        </w:tabs>
        <w:ind w:start="1872" w:hanging="360"/>
      </w:pPr>
      <w:rPr>
        <w:rFonts w:ascii="OpenSymbol" w:hAnsi="OpenSymbol" w:cs="OpenSymbol" w:hint="default"/>
      </w:rPr>
    </w:lvl>
    <w:lvl w:ilvl="3">
      <w:start w:val="1"/>
      <w:numFmt w:val="bullet"/>
      <w:lvlText w:val=""/>
      <w:lvlJc w:val="start"/>
      <w:pPr>
        <w:tabs>
          <w:tab w:val="num" w:pos="2232"/>
        </w:tabs>
        <w:ind w:start="2232" w:hanging="360"/>
      </w:pPr>
      <w:rPr>
        <w:rFonts w:ascii="Symbol" w:hAnsi="Symbol" w:cs="Symbol" w:hint="default"/>
      </w:rPr>
    </w:lvl>
    <w:lvl w:ilvl="4">
      <w:start w:val="1"/>
      <w:numFmt w:val="bullet"/>
      <w:lvlText w:val="◦"/>
      <w:lvlJc w:val="start"/>
      <w:pPr>
        <w:tabs>
          <w:tab w:val="num" w:pos="2592"/>
        </w:tabs>
        <w:ind w:start="2592" w:hanging="360"/>
      </w:pPr>
      <w:rPr>
        <w:rFonts w:ascii="OpenSymbol" w:hAnsi="OpenSymbol" w:cs="OpenSymbol" w:hint="default"/>
      </w:rPr>
    </w:lvl>
    <w:lvl w:ilvl="5">
      <w:start w:val="1"/>
      <w:numFmt w:val="bullet"/>
      <w:lvlText w:val="▪"/>
      <w:lvlJc w:val="start"/>
      <w:pPr>
        <w:tabs>
          <w:tab w:val="num" w:pos="2952"/>
        </w:tabs>
        <w:ind w:start="2952" w:hanging="360"/>
      </w:pPr>
      <w:rPr>
        <w:rFonts w:ascii="OpenSymbol" w:hAnsi="OpenSymbol" w:cs="OpenSymbol" w:hint="default"/>
      </w:rPr>
    </w:lvl>
    <w:lvl w:ilvl="6">
      <w:start w:val="1"/>
      <w:numFmt w:val="bullet"/>
      <w:lvlText w:val=""/>
      <w:lvlJc w:val="start"/>
      <w:pPr>
        <w:tabs>
          <w:tab w:val="num" w:pos="3312"/>
        </w:tabs>
        <w:ind w:start="3312" w:hanging="360"/>
      </w:pPr>
      <w:rPr>
        <w:rFonts w:ascii="Symbol" w:hAnsi="Symbol" w:cs="Symbol" w:hint="default"/>
      </w:rPr>
    </w:lvl>
    <w:lvl w:ilvl="7">
      <w:start w:val="1"/>
      <w:numFmt w:val="bullet"/>
      <w:lvlText w:val="◦"/>
      <w:lvlJc w:val="start"/>
      <w:pPr>
        <w:tabs>
          <w:tab w:val="num" w:pos="3672"/>
        </w:tabs>
        <w:ind w:start="3672" w:hanging="360"/>
      </w:pPr>
      <w:rPr>
        <w:rFonts w:ascii="OpenSymbol" w:hAnsi="OpenSymbol" w:cs="OpenSymbol" w:hint="default"/>
      </w:rPr>
    </w:lvl>
    <w:lvl w:ilvl="8">
      <w:start w:val="1"/>
      <w:numFmt w:val="bullet"/>
      <w:lvlText w:val="▪"/>
      <w:lvlJc w:val="start"/>
      <w:pPr>
        <w:tabs>
          <w:tab w:val="num" w:pos="4032"/>
        </w:tabs>
        <w:ind w:start="4032" w:hanging="360"/>
      </w:pPr>
      <w:rPr>
        <w:rFonts w:ascii="OpenSymbol" w:hAnsi="OpenSymbol" w:cs="OpenSymbol"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Times New Roman" w:hAnsi="Times New Roman" w:eastAsia="Times New Roman" w:cs="Times New Roman"/>
      <w:color w:val="auto"/>
      <w:kern w:val="0"/>
      <w:sz w:val="24"/>
      <w:szCs w:val="24"/>
      <w:lang w:val="pt-BR" w:eastAsia="zh-CN" w:bidi="ar-SA"/>
    </w:rPr>
  </w:style>
  <w:style w:type="paragraph" w:styleId="Heading1">
    <w:name w:val="Heading 1"/>
    <w:basedOn w:val="Normal"/>
    <w:next w:val="Normal"/>
    <w:qFormat/>
    <w:pPr>
      <w:keepNext w:val="true"/>
      <w:numPr>
        <w:ilvl w:val="0"/>
        <w:numId w:val="1"/>
      </w:numPr>
      <w:spacing w:lineRule="atLeast" w:line="240"/>
      <w:jc w:val="both"/>
      <w:outlineLvl w:val="0"/>
    </w:pPr>
    <w:rPr>
      <w:b/>
      <w:sz w:val="20"/>
      <w:szCs w:val="20"/>
      <w:lang w:val="pt-BR"/>
    </w:rPr>
  </w:style>
  <w:style w:type="paragraph" w:styleId="Heading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paragraph" w:styleId="Heading4">
    <w:name w:val="Heading 4"/>
    <w:basedOn w:val="Normal"/>
    <w:next w:val="Normal"/>
    <w:qFormat/>
    <w:pPr>
      <w:keepNext w:val="true"/>
      <w:numPr>
        <w:ilvl w:val="3"/>
        <w:numId w:val="1"/>
      </w:numPr>
      <w:spacing w:before="240" w:after="60"/>
      <w:outlineLvl w:val="3"/>
    </w:pPr>
    <w:rPr>
      <w:b/>
      <w:bCs/>
      <w:sz w:val="28"/>
      <w:szCs w:val="28"/>
    </w:rPr>
  </w:style>
  <w:style w:type="character" w:styleId="WW8Num2z0">
    <w:name w:val="WW8Num2z0"/>
    <w:qFormat/>
    <w:rPr>
      <w:rFonts w:ascii="Verdana" w:hAnsi="Verdana" w:cs="Verdana"/>
      <w:b/>
      <w:bCs/>
      <w:i w:val="false"/>
      <w:iCs w:val="false"/>
      <w:sz w:val="20"/>
      <w:szCs w:val="20"/>
    </w:rPr>
  </w:style>
  <w:style w:type="character" w:styleId="WW8Num3z0">
    <w:name w:val="WW8Num3z0"/>
    <w:qFormat/>
    <w:rPr/>
  </w:style>
  <w:style w:type="character" w:styleId="WW8Num4z0">
    <w:name w:val="WW8Num4z0"/>
    <w:qFormat/>
    <w:rPr>
      <w:rFonts w:ascii="Symbol" w:hAnsi="Symbol" w:cs="OpenSymbol;Arial Unicode MS"/>
    </w:rPr>
  </w:style>
  <w:style w:type="character" w:styleId="WW8Num4z1">
    <w:name w:val="WW8Num4z1"/>
    <w:qFormat/>
    <w:rPr>
      <w:rFonts w:ascii="OpenSymbol;Arial Unicode MS" w:hAnsi="OpenSymbol;Arial Unicode MS" w:cs="OpenSymbol;Arial Unicode MS"/>
    </w:rPr>
  </w:style>
  <w:style w:type="character" w:styleId="WW8Num5z0">
    <w:name w:val="WW8Num5z0"/>
    <w:qFormat/>
    <w:rPr>
      <w:rFonts w:ascii="Verdana" w:hAnsi="Verdana" w:cs="Verdana"/>
      <w:b/>
      <w:bCs/>
      <w:sz w:val="20"/>
      <w:szCs w:val="20"/>
    </w:rPr>
  </w:style>
  <w:style w:type="character" w:styleId="WW8Num3z2">
    <w:name w:val="WW8Num3z2"/>
    <w:qFormat/>
    <w:rPr>
      <w:rFonts w:ascii="Verdana" w:hAnsi="Verdana" w:cs="Verdana"/>
      <w:b w:val="false"/>
      <w:bCs w:val="false"/>
      <w:i w:val="false"/>
      <w:iCs w:val="false"/>
      <w:color w:val="000000"/>
    </w:rPr>
  </w:style>
  <w:style w:type="character" w:styleId="WW8Num3z6">
    <w:name w:val="WW8Num3z6"/>
    <w:qFormat/>
    <w:rPr>
      <w:rFonts w:ascii="Arial" w:hAnsi="Arial" w:cs="Arial"/>
      <w:b/>
      <w:sz w:val="20"/>
      <w:szCs w:val="20"/>
    </w:rPr>
  </w:style>
  <w:style w:type="character" w:styleId="WW8Num6z0">
    <w:name w:val="WW8Num6z0"/>
    <w:qFormat/>
    <w:rPr/>
  </w:style>
  <w:style w:type="character" w:styleId="Fontepargpadro">
    <w:name w:val="Fonte parág. padrão"/>
    <w:qFormat/>
    <w:rPr/>
  </w:style>
  <w:style w:type="character" w:styleId="WW8Num4z2">
    <w:name w:val="WW8Num4z2"/>
    <w:qFormat/>
    <w:rPr>
      <w:rFonts w:ascii="Verdana" w:hAnsi="Verdana" w:cs="Verdana"/>
      <w:b w:val="false"/>
      <w:bCs w:val="false"/>
      <w:i w:val="false"/>
      <w:iCs w:val="false"/>
      <w:color w:val="000000"/>
    </w:rPr>
  </w:style>
  <w:style w:type="character" w:styleId="WW8Num4z6">
    <w:name w:val="WW8Num4z6"/>
    <w:qFormat/>
    <w:rPr>
      <w:rFonts w:ascii="Arial" w:hAnsi="Arial" w:cs="Arial"/>
      <w:b/>
      <w:sz w:val="20"/>
      <w:szCs w:val="20"/>
    </w:rPr>
  </w:style>
  <w:style w:type="character" w:styleId="Fontepargpadro2">
    <w:name w:val="Fonte parág. padrão2"/>
    <w:qFormat/>
    <w:rPr/>
  </w:style>
  <w:style w:type="character" w:styleId="WW8Num5z6">
    <w:name w:val="WW8Num5z6"/>
    <w:qFormat/>
    <w:rPr>
      <w:rFonts w:ascii="Arial" w:hAnsi="Arial" w:cs="Arial"/>
      <w:b/>
      <w:sz w:val="20"/>
      <w:szCs w:val="20"/>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7">
    <w:name w:val="WW8Num3z7"/>
    <w:qFormat/>
    <w:rPr/>
  </w:style>
  <w:style w:type="character" w:styleId="WW8Num3z8">
    <w:name w:val="WW8Num3z8"/>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7">
    <w:name w:val="WW8Num5z7"/>
    <w:qFormat/>
    <w:rPr/>
  </w:style>
  <w:style w:type="character" w:styleId="WW8Num5z8">
    <w:name w:val="WW8Num5z8"/>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b/>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0"/>
      <w:szCs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eastAsia="Times New Roman"/>
    </w:rPr>
  </w:style>
  <w:style w:type="character" w:styleId="WW8Num10z0">
    <w:name w:val="WW8Num10z0"/>
    <w:qFormat/>
    <w:rPr/>
  </w:style>
  <w:style w:type="character" w:styleId="WW8Num10z1">
    <w:name w:val="WW8Num10z1"/>
    <w:qFormat/>
    <w:rPr>
      <w:b/>
    </w:rPr>
  </w:style>
  <w:style w:type="character" w:styleId="WW8Num11z0">
    <w:name w:val="WW8Num11z0"/>
    <w:qFormat/>
    <w:rPr>
      <w:rFonts w:ascii="Arial" w:hAnsi="Arial" w:cs="Arial"/>
      <w:b/>
      <w:i w:val="false"/>
      <w:sz w:val="20"/>
      <w:szCs w:val="24"/>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cs="Arial"/>
      <w:b/>
      <w:i w:val="false"/>
      <w:color w:val="000000"/>
      <w:sz w:val="24"/>
      <w:szCs w:val="24"/>
    </w:rPr>
  </w:style>
  <w:style w:type="character" w:styleId="WW8Num12z1">
    <w:name w:val="WW8Num12z1"/>
    <w:qFormat/>
    <w:rPr>
      <w:rFonts w:ascii="Symbol" w:hAnsi="Symbol" w:cs="Symbol"/>
    </w:rPr>
  </w:style>
  <w:style w:type="character" w:styleId="WW8Num12z2">
    <w:name w:val="WW8Num12z2"/>
    <w:qFormat/>
    <w:rPr>
      <w:rFonts w:ascii="Arial" w:hAnsi="Arial" w:cs="Arial"/>
      <w:b/>
      <w:i w:val="false"/>
      <w:color w:val="000000"/>
      <w:sz w:val="20"/>
      <w:szCs w:val="24"/>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Arial" w:hAnsi="Arial" w:cs="Arial"/>
      <w:b/>
      <w:i w:val="false"/>
      <w:color w:val="000000"/>
      <w:sz w:val="20"/>
      <w:szCs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Arial" w:hAnsi="Arial" w:cs="Arial"/>
      <w:b/>
      <w:i w:val="false"/>
      <w:sz w:val="20"/>
      <w:szCs w:val="20"/>
      <w:u w:val="none"/>
    </w:rPr>
  </w:style>
  <w:style w:type="character" w:styleId="WW8Num14z1">
    <w:name w:val="WW8Num14z1"/>
    <w:qFormat/>
    <w:rPr/>
  </w:style>
  <w:style w:type="character" w:styleId="WW8Num15z0">
    <w:name w:val="WW8Num15z0"/>
    <w:qFormat/>
    <w:rPr>
      <w:rFonts w:cs="Times New Roman"/>
      <w:b/>
    </w:rPr>
  </w:style>
  <w:style w:type="character" w:styleId="WW8Num16z0">
    <w:name w:val="WW8Num16z0"/>
    <w:qFormat/>
    <w:rPr>
      <w:rFonts w:ascii="Arial" w:hAnsi="Arial" w:cs="Arial"/>
      <w:b/>
      <w:i w:val="false"/>
      <w:spacing w:val="0"/>
      <w:w w:val="100"/>
      <w:kern w:val="0"/>
      <w:position w:val="0"/>
      <w:sz w:val="20"/>
      <w:sz w:val="20"/>
      <w:szCs w:val="24"/>
      <w:vertAlign w:val="baselin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rFonts w:ascii="Calibri" w:hAnsi="Calibri" w:cs="Calibri"/>
      <w:b/>
      <w:i w:val="false"/>
      <w:color w:val="000000"/>
      <w:sz w:val="22"/>
      <w:szCs w:val="22"/>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b/>
    </w:rPr>
  </w:style>
  <w:style w:type="character" w:styleId="WW8Num20z0">
    <w:name w:val="WW8Num20z0"/>
    <w:qFormat/>
    <w:rPr>
      <w:b/>
    </w:rPr>
  </w:style>
  <w:style w:type="character" w:styleId="WW8Num20z1">
    <w:name w:val="WW8Num20z1"/>
    <w:qFormat/>
    <w:rPr>
      <w:b/>
      <w:sz w:val="20"/>
      <w:szCs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b/>
    </w:rPr>
  </w:style>
  <w:style w:type="character" w:styleId="WW8Num23z0">
    <w:name w:val="WW8Num23z0"/>
    <w:qFormat/>
    <w:rPr>
      <w:rFonts w:ascii="Arial" w:hAnsi="Arial" w:cs="Times New Roman"/>
      <w:b/>
      <w:i w:val="false"/>
      <w:strike w:val="false"/>
      <w:dstrike w:val="false"/>
      <w:sz w:val="20"/>
      <w:szCs w:val="24"/>
      <w:u w:val="none"/>
    </w:rPr>
  </w:style>
  <w:style w:type="character" w:styleId="WW8Num24z0">
    <w:name w:val="WW8Num24z0"/>
    <w:qFormat/>
    <w:rPr>
      <w:rFonts w:ascii="Arial" w:hAnsi="Arial" w:cs="Arial"/>
      <w:b/>
      <w:i w:val="false"/>
      <w:spacing w:val="0"/>
      <w:kern w:val="2"/>
      <w:position w:val="0"/>
      <w:sz w:val="20"/>
      <w:sz w:val="20"/>
      <w:szCs w:val="20"/>
      <w:vertAlign w:val="baselin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Arial" w:hAnsi="Arial" w:cs="Arial"/>
      <w:b/>
      <w:i w:val="false"/>
      <w:sz w:val="20"/>
      <w:szCs w:val="24"/>
      <w:u w:val="none"/>
    </w:rPr>
  </w:style>
  <w:style w:type="character" w:styleId="WW8Num27z0">
    <w:name w:val="WW8Num27z0"/>
    <w:qFormat/>
    <w:rPr>
      <w:rFonts w:ascii="Arial" w:hAnsi="Arial" w:cs="Arial"/>
      <w:b/>
      <w:i w:val="false"/>
      <w:color w:val="000000"/>
      <w:sz w:val="20"/>
      <w:szCs w:val="24"/>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2">
    <w:name w:val="WW8Num29z2"/>
    <w:qFormat/>
    <w:rPr>
      <w:b/>
    </w:rPr>
  </w:style>
  <w:style w:type="character" w:styleId="WW8Num30z0">
    <w:name w:val="WW8Num30z0"/>
    <w:qFormat/>
    <w:rPr>
      <w:rFonts w:ascii="Arial" w:hAnsi="Arial" w:cs="Arial"/>
      <w:b/>
      <w:i w:val="false"/>
      <w:spacing w:val="0"/>
      <w:kern w:val="2"/>
      <w:position w:val="0"/>
      <w:sz w:val="20"/>
      <w:sz w:val="20"/>
      <w:szCs w:val="20"/>
      <w:vertAlign w:val="baseline"/>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rFonts w:ascii="Arial" w:hAnsi="Arial" w:cs="Arial"/>
      <w:b/>
      <w:bCs/>
      <w:iCs/>
      <w:sz w:val="20"/>
      <w:szCs w:val="20"/>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b/>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rPr>
  </w:style>
  <w:style w:type="character" w:styleId="Fontepargpadro1">
    <w:name w:val="Fonte parág. padrão1"/>
    <w:qFormat/>
    <w:rPr/>
  </w:style>
  <w:style w:type="character" w:styleId="PageNumber">
    <w:name w:val="Page Number"/>
    <w:basedOn w:val="Fontepargpadro1"/>
    <w:rPr/>
  </w:style>
  <w:style w:type="character" w:styleId="InternetLink">
    <w:name w:val="Internet Link"/>
    <w:qFormat/>
    <w:rPr>
      <w:color w:val="0000FF"/>
      <w:u w:val="single"/>
    </w:rPr>
  </w:style>
  <w:style w:type="character" w:styleId="CabealhoChar">
    <w:name w:val="Cabeçalho Char"/>
    <w:qFormat/>
    <w:rPr>
      <w:sz w:val="24"/>
      <w:szCs w:val="24"/>
    </w:rPr>
  </w:style>
  <w:style w:type="character" w:styleId="TextodebaloChar">
    <w:name w:val="Texto de balão Char"/>
    <w:qFormat/>
    <w:rPr>
      <w:rFonts w:ascii="Segoe UI" w:hAnsi="Segoe UI" w:cs="Segoe UI"/>
      <w:sz w:val="18"/>
      <w:szCs w:val="18"/>
    </w:rPr>
  </w:style>
  <w:style w:type="character" w:styleId="CorpoChar">
    <w:name w:val="Corpo Char"/>
    <w:qFormat/>
    <w:rPr>
      <w:color w:val="000000"/>
      <w:sz w:val="24"/>
      <w:lang w:bidi="ar-SA"/>
    </w:rPr>
  </w:style>
  <w:style w:type="character" w:styleId="Ttulo1Char">
    <w:name w:val="Título 1 Char"/>
    <w:qFormat/>
    <w:rPr>
      <w:b/>
    </w:rPr>
  </w:style>
  <w:style w:type="character" w:styleId="Refdecomentrio1">
    <w:name w:val="Ref. de comentário1"/>
    <w:qFormat/>
    <w:rPr>
      <w:sz w:val="16"/>
      <w:szCs w:val="16"/>
    </w:rPr>
  </w:style>
  <w:style w:type="character" w:styleId="TextodecomentrioChar">
    <w:name w:val="Texto de comentário Char"/>
    <w:basedOn w:val="Fontepargpadro1"/>
    <w:qFormat/>
    <w:rPr/>
  </w:style>
  <w:style w:type="character" w:styleId="AssuntodocomentrioChar">
    <w:name w:val="Assunto do comentário Char"/>
    <w:qFormat/>
    <w:rPr>
      <w:b/>
      <w:bCs/>
    </w:rPr>
  </w:style>
  <w:style w:type="character" w:styleId="Ttulo2Char">
    <w:name w:val="Título 2 Char"/>
    <w:qFormat/>
    <w:rPr>
      <w:rFonts w:ascii="Cambria" w:hAnsi="Cambria" w:eastAsia="Times New Roman" w:cs="Times New Roman"/>
      <w:b/>
      <w:bCs/>
      <w:i/>
      <w:iCs/>
      <w:sz w:val="28"/>
      <w:szCs w:val="28"/>
    </w:rPr>
  </w:style>
  <w:style w:type="character" w:styleId="WW8Num29z1">
    <w:name w:val="WW8Num29z1"/>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Smbolosdenumerao">
    <w:name w:val="Símbolos de numeração"/>
    <w:qFormat/>
    <w:rPr>
      <w:rFonts w:ascii="Verdana" w:hAnsi="Verdana" w:cs="Verdana"/>
      <w:b/>
      <w:bCs/>
      <w:sz w:val="20"/>
      <w:szCs w:val="20"/>
    </w:rPr>
  </w:style>
  <w:style w:type="character" w:styleId="Refdecomentrio">
    <w:name w:val="Ref. de comentário"/>
    <w:qFormat/>
    <w:rPr>
      <w:sz w:val="16"/>
      <w:szCs w:val="16"/>
    </w:rPr>
  </w:style>
  <w:style w:type="character" w:styleId="TextodecomentrioChar1">
    <w:name w:val="Texto de comentário Char1"/>
    <w:qFormat/>
    <w:rPr>
      <w:lang w:eastAsia="zh-CN"/>
    </w:rPr>
  </w:style>
  <w:style w:type="character" w:styleId="Nivel2Char">
    <w:name w:val="Nivel 2 Char"/>
    <w:qFormat/>
    <w:rPr>
      <w:rFonts w:ascii="Arial" w:hAnsi="Arial" w:cs="Arial"/>
      <w:lang w:eastAsia="zh-CN"/>
    </w:rPr>
  </w:style>
  <w:style w:type="character" w:styleId="FollowedHyperlink">
    <w:name w:val="FollowedHyperlink"/>
    <w:rPr>
      <w:color w:val="800080"/>
      <w:u w:val="single"/>
    </w:rPr>
  </w:style>
  <w:style w:type="character" w:styleId="Marcadores">
    <w:name w:val="Marcadores"/>
    <w:qFormat/>
    <w:rPr>
      <w:rFonts w:ascii="OpenSymbol;Arial Unicode MS" w:hAnsi="OpenSymbol;Arial Unicode MS" w:eastAsia="OpenSymbol;Arial Unicode MS" w:cs="OpenSymbol;Arial Unicode MS"/>
    </w:rPr>
  </w:style>
  <w:style w:type="character" w:styleId="InternetLink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Arial" w:hAnsi="Liberation Sans;Arial" w:eastAsia="Microsoft YaHei" w:cs="Arial"/>
      <w:sz w:val="28"/>
      <w:szCs w:val="28"/>
    </w:rPr>
  </w:style>
  <w:style w:type="paragraph" w:styleId="BodyText">
    <w:name w:val="Body Text"/>
    <w:basedOn w:val="Normal"/>
    <w:pPr>
      <w:jc w:val="both"/>
    </w:pPr>
    <w:rPr>
      <w:szCs w:val="20"/>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2">
    <w:name w:val="Título2"/>
    <w:basedOn w:val="Normal"/>
    <w:next w:val="BodyText"/>
    <w:qFormat/>
    <w:pPr>
      <w:keepNext w:val="true"/>
      <w:spacing w:before="240" w:after="120"/>
    </w:pPr>
    <w:rPr>
      <w:rFonts w:ascii="Liberation Sans;Arial" w:hAnsi="Liberation Sans;Arial" w:eastAsia="Microsoft YaHei" w:cs="Arial"/>
      <w:sz w:val="28"/>
      <w:szCs w:val="28"/>
    </w:rPr>
  </w:style>
  <w:style w:type="paragraph" w:styleId="Ttulo1">
    <w:name w:val="Título1"/>
    <w:basedOn w:val="Normal"/>
    <w:next w:val="BodyText"/>
    <w:qFormat/>
    <w:pPr>
      <w:keepNext w:val="true"/>
      <w:spacing w:before="240" w:after="120"/>
    </w:pPr>
    <w:rPr>
      <w:rFonts w:ascii="Liberation Sans;Arial" w:hAnsi="Liberation Sans;Arial" w:eastAsia="Microsoft YaHei" w:cs="Mangal"/>
      <w:sz w:val="28"/>
      <w:szCs w:val="28"/>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Header">
    <w:name w:val="Header"/>
    <w:basedOn w:val="Normal"/>
    <w:pPr/>
    <w:rPr>
      <w:lang w:val="pt-BR"/>
    </w:rPr>
  </w:style>
  <w:style w:type="paragraph" w:styleId="WW-Corpodotexto">
    <w:name w:val="WW-Corpo do texto"/>
    <w:basedOn w:val="Normal"/>
    <w:qFormat/>
    <w:pPr>
      <w:suppressAutoHyphens w:val="true"/>
      <w:overflowPunct w:val="true"/>
      <w:spacing w:lineRule="atLeast" w:line="240"/>
      <w:jc w:val="both"/>
      <w:textAlignment w:val="baseline"/>
    </w:pPr>
    <w:rPr>
      <w:szCs w:val="20"/>
      <w:lang w:val="pt-BR" w:eastAsia="pt-BR"/>
    </w:rPr>
  </w:style>
  <w:style w:type="paragraph" w:styleId="Estilo">
    <w:name w:val="Estilo"/>
    <w:qFormat/>
    <w:pPr>
      <w:widowControl w:val="false"/>
      <w:suppressAutoHyphens w:val="true"/>
      <w:bidi w:val="0"/>
      <w:spacing w:before="0" w:after="0"/>
      <w:jc w:val="start"/>
    </w:pPr>
    <w:rPr>
      <w:rFonts w:ascii="Arial" w:hAnsi="Arial" w:eastAsia="Times New Roman" w:cs="Arial"/>
      <w:color w:val="auto"/>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Footer">
    <w:name w:val="Footer"/>
    <w:basedOn w:val="Normal"/>
    <w:pPr/>
    <w:rPr/>
  </w:style>
  <w:style w:type="paragraph" w:styleId="PargrafodaLista">
    <w:name w:val="Parágrafo da Lista"/>
    <w:basedOn w:val="Normal"/>
    <w:qFormat/>
    <w:pPr>
      <w:spacing w:before="0" w:after="0"/>
      <w:ind w:hanging="0" w:start="720" w:end="0"/>
      <w:contextualSpacing/>
    </w:pPr>
    <w:rPr/>
  </w:style>
  <w:style w:type="paragraph" w:styleId="WW-Corpodetexto3">
    <w:name w:val="WW-Corpo de texto 3"/>
    <w:basedOn w:val="Normal"/>
    <w:qFormat/>
    <w:pPr>
      <w:widowControl w:val="false"/>
      <w:suppressAutoHyphens w:val="true"/>
      <w:spacing w:lineRule="auto" w:line="360"/>
      <w:jc w:val="both"/>
    </w:pPr>
    <w:rPr>
      <w:rFonts w:ascii="Arial" w:hAnsi="Arial" w:eastAsia="Lucida Sans Unicode" w:cs="Arial"/>
      <w:color w:val="000000"/>
      <w:lang w:val="pt-PT"/>
    </w:rPr>
  </w:style>
  <w:style w:type="paragraph" w:styleId="Corpo">
    <w:name w:val="Corpo"/>
    <w:qFormat/>
    <w:pPr>
      <w:widowControl/>
      <w:suppressAutoHyphens w:val="true"/>
      <w:bidi w:val="0"/>
      <w:spacing w:before="0" w:after="0"/>
      <w:jc w:val="start"/>
    </w:pPr>
    <w:rPr>
      <w:rFonts w:ascii="Times New Roman" w:hAnsi="Times New Roman" w:eastAsia="Times New Roman" w:cs="Times New Roman"/>
      <w:color w:val="000000"/>
      <w:kern w:val="0"/>
      <w:sz w:val="24"/>
      <w:szCs w:val="20"/>
      <w:lang w:val="pt-BR" w:eastAsia="zh-CN" w:bidi="ar-SA"/>
    </w:rPr>
  </w:style>
  <w:style w:type="paragraph" w:styleId="WW-Textosimples">
    <w:name w:val="WW-Texto simples"/>
    <w:basedOn w:val="Normal"/>
    <w:qFormat/>
    <w:pPr>
      <w:suppressAutoHyphens w:val="true"/>
    </w:pPr>
    <w:rPr>
      <w:rFonts w:ascii="Courier New" w:hAnsi="Courier New" w:cs="Courier New"/>
      <w:sz w:val="20"/>
      <w:szCs w:val="20"/>
    </w:rPr>
  </w:style>
  <w:style w:type="paragraph" w:styleId="Textodebalo">
    <w:name w:val="Texto de balão"/>
    <w:basedOn w:val="Normal"/>
    <w:qFormat/>
    <w:pPr/>
    <w:rPr>
      <w:rFonts w:ascii="Segoe UI" w:hAnsi="Segoe UI" w:cs="Segoe UI"/>
      <w:sz w:val="18"/>
      <w:szCs w:val="18"/>
      <w:lang w:val="pt-BR"/>
    </w:rPr>
  </w:style>
  <w:style w:type="paragraph" w:styleId="Standard">
    <w:name w:val="Standard"/>
    <w:qFormat/>
    <w:pPr>
      <w:widowControl w:val="false"/>
      <w:suppressAutoHyphens w:val="true"/>
      <w:bidi w:val="0"/>
      <w:spacing w:before="0" w:after="0"/>
      <w:jc w:val="star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name w:val="Texto de comentário1"/>
    <w:basedOn w:val="Normal"/>
    <w:qFormat/>
    <w:pPr/>
    <w:rPr>
      <w:sz w:val="20"/>
      <w:szCs w:val="20"/>
    </w:rPr>
  </w:style>
  <w:style w:type="paragraph" w:styleId="Assuntodocomentrio">
    <w:name w:val="Assunto do comentário"/>
    <w:basedOn w:val="Textodecomentrio1"/>
    <w:next w:val="Textodecomentrio1"/>
    <w:qFormat/>
    <w:pPr/>
    <w:rPr>
      <w:b/>
      <w:bCs/>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istParagraph">
    <w:name w:val="List Paragraph"/>
    <w:basedOn w:val="Normal"/>
    <w:qFormat/>
    <w:pPr>
      <w:spacing w:before="0" w:after="0"/>
      <w:ind w:hanging="0" w:start="720" w:end="0"/>
      <w:contextualSpacing/>
    </w:pPr>
    <w:rPr/>
  </w:style>
  <w:style w:type="paragraph" w:styleId="Nivel2">
    <w:name w:val="Nivel 2"/>
    <w:basedOn w:val="Normal"/>
    <w:qFormat/>
    <w:pPr>
      <w:numPr>
        <w:ilvl w:val="0"/>
        <w:numId w:val="2"/>
      </w:numPr>
      <w:suppressAutoHyphens w:val="false"/>
      <w:spacing w:lineRule="auto" w:line="276" w:before="120" w:after="120"/>
      <w:ind w:hanging="0" w:start="0" w:end="0"/>
      <w:jc w:val="both"/>
    </w:pPr>
    <w:rPr>
      <w:rFonts w:ascii="Arial" w:hAnsi="Arial" w:cs="Arial"/>
      <w:sz w:val="20"/>
      <w:szCs w:val="20"/>
    </w:rPr>
  </w:style>
  <w:style w:type="paragraph" w:styleId="Nvel3-R">
    <w:name w:val="Nível 3-R"/>
    <w:basedOn w:val="Normal"/>
    <w:qFormat/>
    <w:pPr>
      <w:numPr>
        <w:ilvl w:val="0"/>
        <w:numId w:val="2"/>
      </w:numPr>
      <w:suppressAutoHyphens w:val="false"/>
      <w:spacing w:lineRule="auto" w:line="276" w:before="120" w:after="120"/>
      <w:ind w:hanging="0" w:start="284" w:end="0"/>
      <w:jc w:val="both"/>
    </w:pPr>
    <w:rPr>
      <w:rFonts w:ascii="Arial" w:hAnsi="Arial" w:eastAsia="Times New Roman" w:cs="Arial"/>
      <w:i/>
      <w:iCs/>
      <w:color w:val="FF0000"/>
      <w:sz w:val="20"/>
      <w:szCs w:val="20"/>
    </w:rPr>
  </w:style>
  <w:style w:type="paragraph" w:styleId="Nvel3">
    <w:name w:val="Nível 3"/>
    <w:basedOn w:val="Nvel3-R"/>
    <w:qFormat/>
    <w:pPr/>
    <w:rPr>
      <w:i w:val="false"/>
      <w:iCs w:val="false"/>
      <w:color w:val="000000"/>
    </w:rPr>
  </w:style>
  <w:style w:type="paragraph" w:styleId="Nvel4">
    <w:name w:val="Nível 4"/>
    <w:basedOn w:val="Nvel3"/>
    <w:qFormat/>
    <w:pPr>
      <w:numPr>
        <w:ilvl w:val="0"/>
        <w:numId w:val="2"/>
      </w:numPr>
      <w:ind w:hanging="0" w:start="567" w:end="0"/>
    </w:pPr>
    <w:rPr>
      <w:rFonts w:ascii="Times New Roman" w:hAnsi="Times New Roman" w:cs="Times New Roman"/>
    </w:rPr>
  </w:style>
  <w:style w:type="paragraph" w:styleId="SubTitNN">
    <w:name w:val="SubTitNN"/>
    <w:basedOn w:val="Normal"/>
    <w:qFormat/>
    <w:pPr>
      <w:suppressAutoHyphens w:val="false"/>
      <w:spacing w:lineRule="auto" w:line="276" w:before="240" w:after="120"/>
      <w:jc w:val="both"/>
    </w:pPr>
    <w:rPr>
      <w:rFonts w:ascii="Arial" w:hAnsi="Arial" w:cs="Arial"/>
      <w:b/>
      <w:bCs/>
      <w:iCs/>
      <w:sz w:val="20"/>
      <w:szCs w:val="20"/>
    </w:rPr>
  </w:style>
  <w:style w:type="paragraph" w:styleId="Textodecomentrio">
    <w:name w:val="Texto de comentário"/>
    <w:basedOn w:val="Normal"/>
    <w:qFormat/>
    <w:pPr>
      <w:suppressAutoHyphens w:val="false"/>
    </w:pPr>
    <w:rPr>
      <w:sz w:val="20"/>
      <w:szCs w:val="20"/>
    </w:rPr>
  </w:style>
  <w:style w:type="paragraph" w:styleId="Nivel01">
    <w:name w:val="Nivel 01"/>
    <w:basedOn w:val="Heading1"/>
    <w:next w:val="Normal"/>
    <w:qFormat/>
    <w:pPr>
      <w:keepLines/>
      <w:numPr>
        <w:ilvl w:val="0"/>
        <w:numId w:val="0"/>
      </w:numPr>
      <w:tabs>
        <w:tab w:val="clear" w:pos="708"/>
        <w:tab w:val="left" w:pos="567" w:leader="none"/>
      </w:tabs>
      <w:suppressAutoHyphens w:val="false"/>
      <w:spacing w:lineRule="auto" w:line="276" w:before="120" w:after="120"/>
      <w:ind w:hanging="0" w:start="0" w:end="0"/>
      <w:outlineLvl w:val="9"/>
    </w:pPr>
    <w:rPr>
      <w:rFonts w:ascii="Arial" w:hAnsi="Arial" w:eastAsia="Times New Roman" w:cs="Arial"/>
      <w:bCs/>
      <w:lang w:val="pt-B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ssistenciasgp@gmail.com" TargetMode="External"/><Relationship Id="rId3" Type="http://schemas.openxmlformats.org/officeDocument/2006/relationships/hyperlink" Target="https://www.planalto.gov.br/ccivil_03/leis/lcp/lcp123.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696</TotalTime>
  <Application>LibreOffice/24.2.7.2$Windows_X86_64 LibreOffice_project/ee3885777aa7032db5a9b65deec9457448a91162</Application>
  <AppVersion>15.0000</AppVersion>
  <Pages>9</Pages>
  <Words>4280</Words>
  <Characters>23971</Characters>
  <CharactersWithSpaces>28120</CharactersWithSpaces>
  <Paragraphs>188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2017-02-07T11:50:00Z</dcterms:created>
  <dc:creator>fabiano</dc:creator>
  <dc:description/>
  <dc:language>pt-BR</dc:language>
  <cp:lastModifiedBy/>
  <cp:lastPrinted>2025-11-11T14:35:46Z</cp:lastPrinted>
  <dcterms:modified xsi:type="dcterms:W3CDTF">2025-11-11T14:35:51Z</dcterms:modified>
  <cp:revision>22</cp:revision>
  <dc:subject/>
  <dc:title>MINUTA DE CONTRATO</dc:title>
</cp:coreProperties>
</file>

<file path=docProps/custom.xml><?xml version="1.0" encoding="utf-8"?>
<Properties xmlns="http://schemas.openxmlformats.org/officeDocument/2006/custom-properties" xmlns:vt="http://schemas.openxmlformats.org/officeDocument/2006/docPropsVTypes"/>
</file>